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0A57F5">
      <w:pPr>
        <w:spacing w:line="400" w:lineRule="atLeast"/>
        <w:jc w:val="center"/>
        <w:rPr>
          <w:rFonts w:ascii="宋体" w:hAnsi="宋体"/>
          <w:b/>
          <w:bCs/>
          <w:spacing w:val="120"/>
          <w:sz w:val="72"/>
          <w:szCs w:val="72"/>
        </w:rPr>
      </w:pPr>
      <w:bookmarkStart w:id="85" w:name="_GoBack"/>
      <w:bookmarkEnd w:id="85"/>
    </w:p>
    <w:p w14:paraId="4D3AAEEC">
      <w:pPr>
        <w:spacing w:line="400" w:lineRule="atLeast"/>
        <w:jc w:val="center"/>
        <w:rPr>
          <w:rFonts w:ascii="宋体" w:hAnsi="宋体"/>
          <w:b/>
          <w:sz w:val="52"/>
        </w:rPr>
      </w:pPr>
      <w:r>
        <w:rPr>
          <w:rFonts w:hint="eastAsia" w:ascii="宋体" w:hAnsi="宋体"/>
          <w:b/>
          <w:bCs/>
          <w:spacing w:val="120"/>
          <w:sz w:val="72"/>
          <w:szCs w:val="72"/>
        </w:rPr>
        <w:t>温州金洋集装箱码头有限公司</w:t>
      </w:r>
    </w:p>
    <w:p w14:paraId="2930E00A">
      <w:pPr>
        <w:spacing w:line="400" w:lineRule="atLeast"/>
        <w:jc w:val="center"/>
        <w:rPr>
          <w:rFonts w:ascii="宋体" w:hAnsi="宋体"/>
          <w:b/>
          <w:sz w:val="52"/>
        </w:rPr>
      </w:pPr>
    </w:p>
    <w:p w14:paraId="31ADC7ED">
      <w:pPr>
        <w:autoSpaceDE w:val="0"/>
        <w:autoSpaceDN w:val="0"/>
        <w:spacing w:line="500" w:lineRule="atLeast"/>
        <w:jc w:val="center"/>
        <w:textAlignment w:val="bottom"/>
        <w:rPr>
          <w:rFonts w:ascii="宋体" w:hAnsi="宋体"/>
          <w:b/>
          <w:bCs/>
          <w:sz w:val="72"/>
          <w:szCs w:val="72"/>
        </w:rPr>
      </w:pPr>
      <w:r>
        <w:rPr>
          <w:rFonts w:hint="eastAsia" w:ascii="宋体" w:hAnsi="宋体"/>
          <w:b/>
          <w:bCs/>
          <w:sz w:val="72"/>
          <w:szCs w:val="72"/>
        </w:rPr>
        <w:t>招 标 文 件</w:t>
      </w:r>
    </w:p>
    <w:p w14:paraId="11C989A0">
      <w:pPr>
        <w:spacing w:line="400" w:lineRule="atLeast"/>
        <w:jc w:val="center"/>
        <w:rPr>
          <w:rFonts w:ascii="宋体" w:hAnsi="宋体"/>
          <w:b/>
          <w:sz w:val="32"/>
        </w:rPr>
      </w:pPr>
    </w:p>
    <w:p w14:paraId="3003A1A2">
      <w:pPr>
        <w:spacing w:line="400" w:lineRule="exact"/>
        <w:jc w:val="center"/>
        <w:rPr>
          <w:rFonts w:ascii="宋体" w:hAnsi="宋体"/>
          <w:b/>
          <w:bCs/>
          <w:sz w:val="32"/>
          <w:szCs w:val="32"/>
        </w:rPr>
      </w:pPr>
    </w:p>
    <w:p w14:paraId="3AA33E80">
      <w:pPr>
        <w:jc w:val="center"/>
        <w:rPr>
          <w:rFonts w:ascii="宋体" w:hAnsi="宋体"/>
          <w:b/>
          <w:bCs/>
          <w:sz w:val="24"/>
        </w:rPr>
      </w:pPr>
    </w:p>
    <w:p w14:paraId="0FC03F31">
      <w:pPr>
        <w:tabs>
          <w:tab w:val="left" w:pos="1985"/>
          <w:tab w:val="left" w:pos="4860"/>
        </w:tabs>
        <w:spacing w:line="600" w:lineRule="exact"/>
        <w:ind w:right="1145"/>
        <w:jc w:val="left"/>
        <w:rPr>
          <w:rFonts w:ascii="宋体" w:hAnsi="宋体"/>
          <w:b/>
          <w:spacing w:val="40"/>
          <w:sz w:val="28"/>
          <w:szCs w:val="28"/>
        </w:rPr>
      </w:pPr>
    </w:p>
    <w:p w14:paraId="1787D5EA">
      <w:pPr>
        <w:tabs>
          <w:tab w:val="left" w:pos="1985"/>
          <w:tab w:val="left" w:pos="4860"/>
        </w:tabs>
        <w:spacing w:line="600" w:lineRule="exact"/>
        <w:ind w:right="1145" w:firstLine="1444" w:firstLineChars="400"/>
        <w:jc w:val="left"/>
        <w:outlineLvl w:val="0"/>
        <w:rPr>
          <w:rFonts w:ascii="宋体" w:hAnsi="宋体"/>
          <w:b/>
          <w:spacing w:val="40"/>
          <w:sz w:val="28"/>
          <w:szCs w:val="28"/>
        </w:rPr>
      </w:pPr>
      <w:bookmarkStart w:id="0" w:name="_Toc6068"/>
      <w:bookmarkStart w:id="1" w:name="_Toc14"/>
      <w:bookmarkStart w:id="2" w:name="_Toc50128367"/>
      <w:bookmarkStart w:id="3" w:name="_Toc2039"/>
      <w:r>
        <w:rPr>
          <w:rFonts w:hint="eastAsia" w:ascii="宋体" w:hAnsi="宋体"/>
          <w:b/>
          <w:spacing w:val="40"/>
          <w:sz w:val="28"/>
          <w:szCs w:val="28"/>
        </w:rPr>
        <w:t>项目编号</w:t>
      </w:r>
      <w:r>
        <w:rPr>
          <w:rFonts w:hint="eastAsia" w:ascii="宋体" w:hAnsi="宋体"/>
          <w:b/>
          <w:spacing w:val="40"/>
          <w:sz w:val="30"/>
          <w:szCs w:val="30"/>
        </w:rPr>
        <w:t>：</w:t>
      </w:r>
      <w:bookmarkEnd w:id="0"/>
      <w:bookmarkEnd w:id="1"/>
    </w:p>
    <w:p w14:paraId="316ABFA5">
      <w:pPr>
        <w:tabs>
          <w:tab w:val="left" w:pos="1985"/>
          <w:tab w:val="left" w:pos="4860"/>
        </w:tabs>
        <w:spacing w:line="600" w:lineRule="exact"/>
        <w:ind w:left="1470" w:leftChars="700" w:right="1145"/>
        <w:jc w:val="left"/>
        <w:rPr>
          <w:rFonts w:ascii="宋体" w:hAnsi="宋体"/>
          <w:b/>
          <w:spacing w:val="40"/>
          <w:sz w:val="28"/>
          <w:szCs w:val="28"/>
        </w:rPr>
      </w:pPr>
      <w:r>
        <w:rPr>
          <w:rFonts w:hint="eastAsia" w:ascii="宋体" w:hAnsi="宋体"/>
          <w:b/>
          <w:spacing w:val="40"/>
          <w:sz w:val="28"/>
          <w:szCs w:val="28"/>
        </w:rPr>
        <w:t>项目名称：温州金洋集装箱码头有限公司25吨叉车维修</w:t>
      </w:r>
    </w:p>
    <w:p w14:paraId="5B5E9F4B">
      <w:pPr>
        <w:tabs>
          <w:tab w:val="left" w:pos="4860"/>
        </w:tabs>
        <w:spacing w:line="600" w:lineRule="exact"/>
        <w:ind w:right="1143" w:firstLine="1444" w:firstLineChars="400"/>
        <w:jc w:val="left"/>
        <w:rPr>
          <w:rFonts w:ascii="宋体" w:hAnsi="宋体"/>
          <w:b/>
          <w:spacing w:val="40"/>
          <w:sz w:val="28"/>
          <w:szCs w:val="28"/>
        </w:rPr>
      </w:pPr>
      <w:r>
        <w:rPr>
          <w:rFonts w:hint="eastAsia" w:ascii="宋体" w:hAnsi="宋体"/>
          <w:b/>
          <w:spacing w:val="40"/>
          <w:sz w:val="28"/>
          <w:szCs w:val="28"/>
        </w:rPr>
        <w:t>招标方式</w:t>
      </w:r>
      <w:r>
        <w:rPr>
          <w:rFonts w:hint="eastAsia" w:ascii="宋体" w:hAnsi="宋体"/>
          <w:b/>
          <w:sz w:val="28"/>
          <w:szCs w:val="28"/>
        </w:rPr>
        <w:t>： 公开招标</w:t>
      </w:r>
    </w:p>
    <w:p w14:paraId="0DAD2C7F">
      <w:pPr>
        <w:jc w:val="center"/>
        <w:rPr>
          <w:rFonts w:ascii="宋体" w:hAnsi="宋体"/>
          <w:b/>
          <w:bCs/>
          <w:sz w:val="28"/>
          <w:szCs w:val="28"/>
        </w:rPr>
      </w:pPr>
    </w:p>
    <w:p w14:paraId="56C23643">
      <w:pPr>
        <w:jc w:val="center"/>
        <w:rPr>
          <w:rFonts w:ascii="宋体" w:hAnsi="宋体"/>
          <w:b/>
          <w:bCs/>
          <w:sz w:val="28"/>
          <w:szCs w:val="28"/>
        </w:rPr>
      </w:pPr>
    </w:p>
    <w:p w14:paraId="3FFD85B1">
      <w:pPr>
        <w:rPr>
          <w:rFonts w:ascii="宋体" w:hAnsi="宋体"/>
          <w:b/>
          <w:bCs/>
          <w:sz w:val="24"/>
        </w:rPr>
      </w:pPr>
    </w:p>
    <w:p w14:paraId="41665F50">
      <w:pPr>
        <w:tabs>
          <w:tab w:val="left" w:pos="4860"/>
        </w:tabs>
        <w:spacing w:line="600" w:lineRule="exact"/>
        <w:jc w:val="left"/>
        <w:rPr>
          <w:rFonts w:ascii="宋体" w:hAnsi="宋体"/>
          <w:b/>
          <w:spacing w:val="40"/>
          <w:sz w:val="28"/>
          <w:szCs w:val="28"/>
        </w:rPr>
      </w:pPr>
    </w:p>
    <w:p w14:paraId="00921B95">
      <w:pPr>
        <w:tabs>
          <w:tab w:val="left" w:pos="4860"/>
        </w:tabs>
        <w:spacing w:line="600" w:lineRule="exact"/>
        <w:jc w:val="center"/>
        <w:rPr>
          <w:rFonts w:ascii="宋体" w:hAnsi="宋体"/>
          <w:b/>
          <w:spacing w:val="40"/>
          <w:sz w:val="28"/>
          <w:szCs w:val="28"/>
        </w:rPr>
      </w:pPr>
      <w:r>
        <w:rPr>
          <w:rFonts w:hint="eastAsia" w:ascii="宋体" w:hAnsi="宋体"/>
          <w:b/>
          <w:spacing w:val="40"/>
          <w:sz w:val="28"/>
          <w:szCs w:val="28"/>
        </w:rPr>
        <w:t>招  标  人：温州金洋集装箱码头有限公司</w:t>
      </w:r>
    </w:p>
    <w:p w14:paraId="6400ABC7">
      <w:pPr>
        <w:tabs>
          <w:tab w:val="left" w:pos="4860"/>
        </w:tabs>
        <w:spacing w:line="600" w:lineRule="exact"/>
        <w:jc w:val="center"/>
        <w:rPr>
          <w:rFonts w:ascii="宋体" w:hAnsi="宋体"/>
          <w:b/>
          <w:spacing w:val="40"/>
          <w:sz w:val="28"/>
          <w:szCs w:val="28"/>
        </w:rPr>
      </w:pPr>
      <w:r>
        <w:rPr>
          <w:rFonts w:hint="eastAsia" w:ascii="宋体" w:hAnsi="宋体"/>
          <w:b/>
          <w:spacing w:val="40"/>
          <w:sz w:val="28"/>
          <w:szCs w:val="28"/>
        </w:rPr>
        <w:t>招标代理机构：华信咨询设计研究院有限公司</w:t>
      </w:r>
    </w:p>
    <w:p w14:paraId="1BB04F36">
      <w:pPr>
        <w:spacing w:line="600" w:lineRule="exact"/>
        <w:jc w:val="center"/>
        <w:rPr>
          <w:szCs w:val="36"/>
        </w:rPr>
      </w:pPr>
      <w:r>
        <w:rPr>
          <w:rFonts w:hint="eastAsia" w:ascii="宋体" w:hAnsi="宋体"/>
          <w:b/>
          <w:spacing w:val="40"/>
          <w:sz w:val="30"/>
          <w:szCs w:val="30"/>
        </w:rPr>
        <w:t>二〇二六年</w:t>
      </w:r>
      <w:r>
        <w:rPr>
          <w:rFonts w:hint="eastAsia" w:ascii="宋体" w:hAnsi="宋体"/>
          <w:b/>
          <w:spacing w:val="40"/>
          <w:sz w:val="30"/>
          <w:szCs w:val="30"/>
          <w:lang w:val="en-US" w:eastAsia="zh-CN"/>
        </w:rPr>
        <w:t>九</w:t>
      </w:r>
      <w:r>
        <w:rPr>
          <w:rFonts w:hint="eastAsia" w:ascii="宋体" w:hAnsi="宋体"/>
          <w:b/>
          <w:spacing w:val="40"/>
          <w:sz w:val="30"/>
          <w:szCs w:val="30"/>
        </w:rPr>
        <w:t>月</w:t>
      </w:r>
      <w:r>
        <w:br w:type="page"/>
      </w:r>
    </w:p>
    <w:sdt>
      <w:sdtPr>
        <w:rPr>
          <w:rFonts w:ascii="宋体" w:hAnsi="宋体"/>
        </w:rPr>
        <w:id w:val="147451682"/>
        <w:docPartObj>
          <w:docPartGallery w:val="Table of Contents"/>
          <w:docPartUnique/>
        </w:docPartObj>
      </w:sdtPr>
      <w:sdtEndPr>
        <w:rPr>
          <w:rFonts w:hint="eastAsia" w:ascii="宋体" w:hAnsi="宋体" w:cs="宋体"/>
          <w:bCs/>
          <w:color w:val="000000"/>
          <w:sz w:val="28"/>
          <w:szCs w:val="28"/>
        </w:rPr>
      </w:sdtEndPr>
      <w:sdtContent>
        <w:p w14:paraId="643AE695">
          <w:pPr>
            <w:jc w:val="center"/>
            <w:rPr>
              <w:rFonts w:ascii="宋体" w:hAnsi="宋体"/>
            </w:rPr>
          </w:pPr>
        </w:p>
        <w:p w14:paraId="0B5656CE">
          <w:pPr>
            <w:jc w:val="center"/>
          </w:pPr>
          <w:r>
            <w:rPr>
              <w:rFonts w:ascii="宋体" w:hAnsi="宋体"/>
              <w:sz w:val="36"/>
              <w:szCs w:val="44"/>
            </w:rPr>
            <w:t>目录</w:t>
          </w:r>
        </w:p>
        <w:p w14:paraId="67E48507">
          <w:pPr>
            <w:pStyle w:val="20"/>
            <w:tabs>
              <w:tab w:val="right" w:leader="dot" w:pos="8510"/>
            </w:tabs>
            <w:spacing w:line="360" w:lineRule="auto"/>
            <w:rPr>
              <w:rFonts w:ascii="宋体" w:hAnsi="宋体" w:cs="宋体"/>
              <w:sz w:val="28"/>
              <w:szCs w:val="28"/>
            </w:rPr>
          </w:pPr>
          <w:r>
            <w:rPr>
              <w:rFonts w:hint="eastAsia" w:ascii="宋体" w:hAnsi="宋体" w:cs="宋体"/>
              <w:b/>
              <w:bCs/>
              <w:color w:val="000000"/>
              <w:sz w:val="28"/>
              <w:szCs w:val="28"/>
            </w:rPr>
            <w:fldChar w:fldCharType="begin"/>
          </w:r>
          <w:r>
            <w:rPr>
              <w:rFonts w:hint="eastAsia" w:ascii="宋体" w:hAnsi="宋体" w:cs="宋体"/>
              <w:b/>
              <w:bCs/>
              <w:color w:val="000000"/>
              <w:sz w:val="28"/>
              <w:szCs w:val="28"/>
            </w:rPr>
            <w:instrText xml:space="preserve">TOC \o "1-1" \h \u </w:instrText>
          </w:r>
          <w:r>
            <w:rPr>
              <w:rFonts w:hint="eastAsia" w:ascii="宋体" w:hAnsi="宋体" w:cs="宋体"/>
              <w:b/>
              <w:bCs/>
              <w:color w:val="000000"/>
              <w:sz w:val="28"/>
              <w:szCs w:val="28"/>
            </w:rPr>
            <w:fldChar w:fldCharType="separate"/>
          </w:r>
          <w:r>
            <w:fldChar w:fldCharType="begin"/>
          </w:r>
          <w:r>
            <w:instrText xml:space="preserve"> HYPERLINK \l "_Toc6068" </w:instrText>
          </w:r>
          <w:r>
            <w:fldChar w:fldCharType="separate"/>
          </w:r>
          <w:r>
            <w:fldChar w:fldCharType="end"/>
          </w:r>
        </w:p>
        <w:p w14:paraId="78C2EBB6">
          <w:pPr>
            <w:pStyle w:val="20"/>
            <w:tabs>
              <w:tab w:val="right" w:leader="dot" w:pos="8510"/>
            </w:tabs>
            <w:spacing w:line="360" w:lineRule="auto"/>
            <w:rPr>
              <w:rFonts w:ascii="宋体" w:hAnsi="宋体" w:cs="宋体"/>
              <w:sz w:val="28"/>
              <w:szCs w:val="28"/>
            </w:rPr>
          </w:pPr>
          <w:r>
            <w:fldChar w:fldCharType="begin"/>
          </w:r>
          <w:r>
            <w:instrText xml:space="preserve"> HYPERLINK \l "_Toc2039" </w:instrText>
          </w:r>
          <w:r>
            <w:fldChar w:fldCharType="separate"/>
          </w:r>
          <w:r>
            <w:rPr>
              <w:rFonts w:hint="eastAsia" w:ascii="宋体" w:hAnsi="宋体" w:cs="宋体"/>
              <w:sz w:val="28"/>
              <w:szCs w:val="28"/>
            </w:rPr>
            <w:t>第一章招标公告</w:t>
          </w:r>
          <w:r>
            <w:rPr>
              <w:rFonts w:hint="eastAsia" w:ascii="宋体" w:hAnsi="宋体" w:cs="宋体"/>
              <w:sz w:val="28"/>
              <w:szCs w:val="28"/>
            </w:rPr>
            <w:tab/>
          </w:r>
          <w:r>
            <w:rPr>
              <w:rFonts w:hint="eastAsia" w:ascii="宋体" w:hAnsi="宋体" w:cs="宋体"/>
              <w:sz w:val="28"/>
              <w:szCs w:val="28"/>
            </w:rPr>
            <w:fldChar w:fldCharType="begin"/>
          </w:r>
          <w:r>
            <w:rPr>
              <w:rFonts w:hint="eastAsia" w:ascii="宋体" w:hAnsi="宋体" w:cs="宋体"/>
              <w:sz w:val="28"/>
              <w:szCs w:val="28"/>
            </w:rPr>
            <w:instrText xml:space="preserve"> PAGEREF _Toc2039 \h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fldChar w:fldCharType="end"/>
          </w:r>
        </w:p>
        <w:p w14:paraId="7098CDD8">
          <w:pPr>
            <w:pStyle w:val="20"/>
            <w:tabs>
              <w:tab w:val="right" w:leader="dot" w:pos="8510"/>
            </w:tabs>
            <w:spacing w:line="360" w:lineRule="auto"/>
            <w:rPr>
              <w:rFonts w:hint="eastAsia" w:ascii="宋体" w:hAnsi="宋体" w:eastAsia="宋体" w:cs="宋体"/>
              <w:sz w:val="28"/>
              <w:szCs w:val="28"/>
              <w:lang w:eastAsia="zh-CN"/>
            </w:rPr>
          </w:pPr>
          <w:r>
            <w:fldChar w:fldCharType="begin"/>
          </w:r>
          <w:r>
            <w:instrText xml:space="preserve"> HYPERLINK \l "_Toc2948" </w:instrText>
          </w:r>
          <w:r>
            <w:fldChar w:fldCharType="separate"/>
          </w:r>
          <w:r>
            <w:rPr>
              <w:rFonts w:hint="eastAsia" w:ascii="宋体" w:hAnsi="宋体" w:cs="宋体"/>
              <w:sz w:val="28"/>
              <w:szCs w:val="28"/>
            </w:rPr>
            <w:t>第二章招标需求</w:t>
          </w:r>
          <w:r>
            <w:rPr>
              <w:rFonts w:hint="eastAsia" w:ascii="宋体" w:hAnsi="宋体" w:cs="宋体"/>
              <w:sz w:val="28"/>
              <w:szCs w:val="28"/>
            </w:rPr>
            <w:tab/>
          </w:r>
          <w:r>
            <w:rPr>
              <w:rFonts w:hint="eastAsia" w:ascii="宋体" w:hAnsi="宋体" w:cs="宋体"/>
              <w:sz w:val="28"/>
              <w:szCs w:val="28"/>
            </w:rPr>
            <w:fldChar w:fldCharType="end"/>
          </w:r>
          <w:r>
            <w:rPr>
              <w:rFonts w:hint="eastAsia" w:ascii="宋体" w:hAnsi="宋体" w:cs="宋体"/>
              <w:sz w:val="28"/>
              <w:szCs w:val="28"/>
              <w:lang w:val="en-US" w:eastAsia="zh-CN"/>
            </w:rPr>
            <w:t>4</w:t>
          </w:r>
        </w:p>
        <w:p w14:paraId="7833E137">
          <w:pPr>
            <w:pStyle w:val="20"/>
            <w:tabs>
              <w:tab w:val="right" w:leader="dot" w:pos="8510"/>
            </w:tabs>
            <w:spacing w:line="360" w:lineRule="auto"/>
            <w:rPr>
              <w:rFonts w:ascii="宋体" w:hAnsi="宋体" w:cs="宋体"/>
              <w:sz w:val="28"/>
              <w:szCs w:val="28"/>
            </w:rPr>
          </w:pPr>
          <w:r>
            <w:fldChar w:fldCharType="begin"/>
          </w:r>
          <w:r>
            <w:instrText xml:space="preserve"> HYPERLINK \l "_Toc10127" </w:instrText>
          </w:r>
          <w:r>
            <w:fldChar w:fldCharType="separate"/>
          </w:r>
          <w:r>
            <w:rPr>
              <w:rFonts w:hint="eastAsia" w:ascii="宋体" w:hAnsi="宋体" w:cs="宋体"/>
              <w:sz w:val="28"/>
              <w:szCs w:val="28"/>
            </w:rPr>
            <w:t>第三章投标人须知前附表</w:t>
          </w:r>
          <w:r>
            <w:rPr>
              <w:rFonts w:hint="eastAsia" w:ascii="宋体" w:hAnsi="宋体" w:cs="宋体"/>
              <w:sz w:val="28"/>
              <w:szCs w:val="28"/>
            </w:rPr>
            <w:tab/>
          </w:r>
          <w:r>
            <w:rPr>
              <w:rFonts w:hint="eastAsia" w:ascii="宋体" w:hAnsi="宋体" w:cs="宋体"/>
              <w:sz w:val="28"/>
              <w:szCs w:val="28"/>
            </w:rPr>
            <w:fldChar w:fldCharType="begin"/>
          </w:r>
          <w:r>
            <w:rPr>
              <w:rFonts w:hint="eastAsia" w:ascii="宋体" w:hAnsi="宋体" w:cs="宋体"/>
              <w:sz w:val="28"/>
              <w:szCs w:val="28"/>
            </w:rPr>
            <w:instrText xml:space="preserve"> PAGEREF _Toc10127 \h </w:instrText>
          </w:r>
          <w:r>
            <w:rPr>
              <w:rFonts w:hint="eastAsia" w:ascii="宋体" w:hAnsi="宋体" w:cs="宋体"/>
              <w:sz w:val="28"/>
              <w:szCs w:val="28"/>
            </w:rPr>
            <w:fldChar w:fldCharType="separate"/>
          </w:r>
          <w:r>
            <w:rPr>
              <w:rFonts w:hint="eastAsia" w:ascii="宋体" w:hAnsi="宋体" w:cs="宋体"/>
              <w:sz w:val="28"/>
              <w:szCs w:val="28"/>
            </w:rPr>
            <w:t>12</w:t>
          </w:r>
          <w:r>
            <w:rPr>
              <w:rFonts w:hint="eastAsia" w:ascii="宋体" w:hAnsi="宋体" w:cs="宋体"/>
              <w:sz w:val="28"/>
              <w:szCs w:val="28"/>
            </w:rPr>
            <w:fldChar w:fldCharType="end"/>
          </w:r>
          <w:r>
            <w:rPr>
              <w:rFonts w:hint="eastAsia" w:ascii="宋体" w:hAnsi="宋体" w:cs="宋体"/>
              <w:sz w:val="28"/>
              <w:szCs w:val="28"/>
            </w:rPr>
            <w:fldChar w:fldCharType="end"/>
          </w:r>
        </w:p>
        <w:p w14:paraId="5319B577">
          <w:pPr>
            <w:pStyle w:val="20"/>
            <w:tabs>
              <w:tab w:val="right" w:leader="dot" w:pos="8510"/>
            </w:tabs>
            <w:spacing w:line="360" w:lineRule="auto"/>
            <w:rPr>
              <w:rFonts w:ascii="宋体" w:hAnsi="宋体" w:cs="宋体"/>
              <w:sz w:val="28"/>
              <w:szCs w:val="28"/>
            </w:rPr>
          </w:pPr>
          <w:r>
            <w:fldChar w:fldCharType="begin"/>
          </w:r>
          <w:r>
            <w:instrText xml:space="preserve"> HYPERLINK \l "_Toc13389" </w:instrText>
          </w:r>
          <w:r>
            <w:fldChar w:fldCharType="separate"/>
          </w:r>
          <w:r>
            <w:rPr>
              <w:rFonts w:hint="eastAsia" w:ascii="宋体" w:hAnsi="宋体" w:cs="宋体"/>
              <w:sz w:val="28"/>
              <w:szCs w:val="28"/>
            </w:rPr>
            <w:t>第四章评标办法及评分标准</w:t>
          </w:r>
          <w:r>
            <w:rPr>
              <w:rFonts w:hint="eastAsia" w:ascii="宋体" w:hAnsi="宋体" w:cs="宋体"/>
              <w:sz w:val="28"/>
              <w:szCs w:val="28"/>
            </w:rPr>
            <w:tab/>
          </w:r>
          <w:r>
            <w:rPr>
              <w:rFonts w:hint="eastAsia" w:ascii="宋体" w:hAnsi="宋体" w:cs="宋体"/>
              <w:sz w:val="28"/>
              <w:szCs w:val="28"/>
            </w:rPr>
            <w:fldChar w:fldCharType="begin"/>
          </w:r>
          <w:r>
            <w:rPr>
              <w:rFonts w:hint="eastAsia" w:ascii="宋体" w:hAnsi="宋体" w:cs="宋体"/>
              <w:sz w:val="28"/>
              <w:szCs w:val="28"/>
            </w:rPr>
            <w:instrText xml:space="preserve"> PAGEREF _Toc13389 \h </w:instrText>
          </w:r>
          <w:r>
            <w:rPr>
              <w:rFonts w:hint="eastAsia" w:ascii="宋体" w:hAnsi="宋体" w:cs="宋体"/>
              <w:sz w:val="28"/>
              <w:szCs w:val="28"/>
            </w:rPr>
            <w:fldChar w:fldCharType="separate"/>
          </w:r>
          <w:r>
            <w:rPr>
              <w:rFonts w:hint="eastAsia" w:ascii="宋体" w:hAnsi="宋体" w:cs="宋体"/>
              <w:sz w:val="28"/>
              <w:szCs w:val="28"/>
            </w:rPr>
            <w:t>22</w:t>
          </w:r>
          <w:r>
            <w:rPr>
              <w:rFonts w:hint="eastAsia" w:ascii="宋体" w:hAnsi="宋体" w:cs="宋体"/>
              <w:sz w:val="28"/>
              <w:szCs w:val="28"/>
            </w:rPr>
            <w:fldChar w:fldCharType="end"/>
          </w:r>
          <w:r>
            <w:rPr>
              <w:rFonts w:hint="eastAsia" w:ascii="宋体" w:hAnsi="宋体" w:cs="宋体"/>
              <w:sz w:val="28"/>
              <w:szCs w:val="28"/>
            </w:rPr>
            <w:fldChar w:fldCharType="end"/>
          </w:r>
        </w:p>
        <w:p w14:paraId="3E91B1BD">
          <w:pPr>
            <w:pStyle w:val="20"/>
            <w:tabs>
              <w:tab w:val="right" w:leader="dot" w:pos="8510"/>
            </w:tabs>
            <w:spacing w:line="360" w:lineRule="auto"/>
            <w:rPr>
              <w:rFonts w:ascii="宋体" w:hAnsi="宋体" w:cs="宋体"/>
              <w:sz w:val="28"/>
              <w:szCs w:val="28"/>
            </w:rPr>
          </w:pPr>
          <w:r>
            <w:fldChar w:fldCharType="begin"/>
          </w:r>
          <w:r>
            <w:instrText xml:space="preserve"> HYPERLINK \l "_Toc11430" </w:instrText>
          </w:r>
          <w:r>
            <w:fldChar w:fldCharType="separate"/>
          </w:r>
          <w:r>
            <w:rPr>
              <w:rFonts w:hint="eastAsia" w:ascii="宋体" w:hAnsi="宋体" w:cs="宋体"/>
              <w:sz w:val="28"/>
              <w:szCs w:val="28"/>
            </w:rPr>
            <w:t>第五章合同主要条款</w:t>
          </w:r>
          <w:r>
            <w:rPr>
              <w:rFonts w:hint="eastAsia" w:ascii="宋体" w:hAnsi="宋体" w:cs="宋体"/>
              <w:sz w:val="28"/>
              <w:szCs w:val="28"/>
            </w:rPr>
            <w:tab/>
          </w:r>
          <w:r>
            <w:rPr>
              <w:rFonts w:hint="eastAsia" w:ascii="宋体" w:hAnsi="宋体" w:cs="宋体"/>
              <w:sz w:val="28"/>
              <w:szCs w:val="28"/>
            </w:rPr>
            <w:fldChar w:fldCharType="begin"/>
          </w:r>
          <w:r>
            <w:rPr>
              <w:rFonts w:hint="eastAsia" w:ascii="宋体" w:hAnsi="宋体" w:cs="宋体"/>
              <w:sz w:val="28"/>
              <w:szCs w:val="28"/>
            </w:rPr>
            <w:instrText xml:space="preserve"> PAGEREF _Toc11430 \h </w:instrText>
          </w:r>
          <w:r>
            <w:rPr>
              <w:rFonts w:hint="eastAsia" w:ascii="宋体" w:hAnsi="宋体" w:cs="宋体"/>
              <w:sz w:val="28"/>
              <w:szCs w:val="28"/>
            </w:rPr>
            <w:fldChar w:fldCharType="separate"/>
          </w:r>
          <w:r>
            <w:rPr>
              <w:rFonts w:hint="eastAsia" w:ascii="宋体" w:hAnsi="宋体" w:cs="宋体"/>
              <w:sz w:val="28"/>
              <w:szCs w:val="28"/>
            </w:rPr>
            <w:t>27</w:t>
          </w:r>
          <w:r>
            <w:rPr>
              <w:rFonts w:hint="eastAsia" w:ascii="宋体" w:hAnsi="宋体" w:cs="宋体"/>
              <w:sz w:val="28"/>
              <w:szCs w:val="28"/>
            </w:rPr>
            <w:fldChar w:fldCharType="end"/>
          </w:r>
          <w:r>
            <w:rPr>
              <w:rFonts w:hint="eastAsia" w:ascii="宋体" w:hAnsi="宋体" w:cs="宋体"/>
              <w:sz w:val="28"/>
              <w:szCs w:val="28"/>
            </w:rPr>
            <w:fldChar w:fldCharType="end"/>
          </w:r>
        </w:p>
        <w:p w14:paraId="3B37487B">
          <w:pPr>
            <w:pStyle w:val="20"/>
            <w:tabs>
              <w:tab w:val="right" w:leader="dot" w:pos="8510"/>
            </w:tabs>
            <w:spacing w:line="360" w:lineRule="auto"/>
            <w:rPr>
              <w:rFonts w:ascii="宋体" w:hAnsi="宋体" w:cs="宋体"/>
              <w:sz w:val="28"/>
              <w:szCs w:val="28"/>
            </w:rPr>
          </w:pPr>
          <w:r>
            <w:fldChar w:fldCharType="begin"/>
          </w:r>
          <w:r>
            <w:instrText xml:space="preserve"> HYPERLINK \l "_Toc6042" </w:instrText>
          </w:r>
          <w:r>
            <w:fldChar w:fldCharType="separate"/>
          </w:r>
          <w:r>
            <w:rPr>
              <w:rFonts w:hint="eastAsia" w:ascii="宋体" w:hAnsi="宋体" w:cs="宋体"/>
              <w:sz w:val="28"/>
              <w:szCs w:val="28"/>
            </w:rPr>
            <w:t>第六章投标文件格式</w:t>
          </w:r>
          <w:r>
            <w:rPr>
              <w:rFonts w:hint="eastAsia" w:ascii="宋体" w:hAnsi="宋体" w:cs="宋体"/>
              <w:sz w:val="28"/>
              <w:szCs w:val="28"/>
            </w:rPr>
            <w:tab/>
          </w:r>
          <w:r>
            <w:rPr>
              <w:rFonts w:hint="eastAsia" w:ascii="宋体" w:hAnsi="宋体" w:cs="宋体"/>
              <w:sz w:val="28"/>
              <w:szCs w:val="28"/>
            </w:rPr>
            <w:fldChar w:fldCharType="begin"/>
          </w:r>
          <w:r>
            <w:rPr>
              <w:rFonts w:hint="eastAsia" w:ascii="宋体" w:hAnsi="宋体" w:cs="宋体"/>
              <w:sz w:val="28"/>
              <w:szCs w:val="28"/>
            </w:rPr>
            <w:instrText xml:space="preserve"> PAGEREF _Toc6042 \h </w:instrText>
          </w:r>
          <w:r>
            <w:rPr>
              <w:rFonts w:hint="eastAsia" w:ascii="宋体" w:hAnsi="宋体" w:cs="宋体"/>
              <w:sz w:val="28"/>
              <w:szCs w:val="28"/>
            </w:rPr>
            <w:fldChar w:fldCharType="separate"/>
          </w:r>
          <w:r>
            <w:rPr>
              <w:rFonts w:hint="eastAsia" w:ascii="宋体" w:hAnsi="宋体" w:cs="宋体"/>
              <w:sz w:val="28"/>
              <w:szCs w:val="28"/>
            </w:rPr>
            <w:t>54</w:t>
          </w:r>
          <w:r>
            <w:rPr>
              <w:rFonts w:hint="eastAsia" w:ascii="宋体" w:hAnsi="宋体" w:cs="宋体"/>
              <w:sz w:val="28"/>
              <w:szCs w:val="28"/>
            </w:rPr>
            <w:fldChar w:fldCharType="end"/>
          </w:r>
          <w:r>
            <w:rPr>
              <w:rFonts w:hint="eastAsia" w:ascii="宋体" w:hAnsi="宋体" w:cs="宋体"/>
              <w:sz w:val="28"/>
              <w:szCs w:val="28"/>
            </w:rPr>
            <w:fldChar w:fldCharType="end"/>
          </w:r>
        </w:p>
        <w:p w14:paraId="5F1F25C2">
          <w:pPr>
            <w:spacing w:line="360" w:lineRule="auto"/>
            <w:ind w:firstLine="548" w:firstLineChars="196"/>
            <w:jc w:val="left"/>
            <w:rPr>
              <w:rFonts w:ascii="宋体" w:hAnsi="宋体" w:cs="宋体"/>
              <w:b/>
              <w:bCs/>
              <w:color w:val="000000"/>
              <w:sz w:val="28"/>
              <w:szCs w:val="28"/>
            </w:rPr>
          </w:pPr>
          <w:r>
            <w:rPr>
              <w:rFonts w:hint="eastAsia" w:ascii="宋体" w:hAnsi="宋体" w:cs="宋体"/>
              <w:bCs/>
              <w:color w:val="000000"/>
              <w:sz w:val="28"/>
              <w:szCs w:val="28"/>
            </w:rPr>
            <w:fldChar w:fldCharType="end"/>
          </w:r>
        </w:p>
      </w:sdtContent>
    </w:sdt>
    <w:p w14:paraId="22945B6F">
      <w:pPr>
        <w:spacing w:line="560" w:lineRule="exact"/>
        <w:ind w:firstLine="472" w:firstLineChars="196"/>
        <w:rPr>
          <w:rFonts w:ascii="宋体" w:hAnsi="宋体"/>
          <w:b/>
          <w:bCs/>
          <w:color w:val="000000"/>
          <w:sz w:val="24"/>
        </w:rPr>
      </w:pPr>
    </w:p>
    <w:p w14:paraId="7BD02889">
      <w:pPr>
        <w:spacing w:line="560" w:lineRule="exact"/>
        <w:ind w:firstLine="472" w:firstLineChars="196"/>
        <w:rPr>
          <w:rFonts w:ascii="宋体" w:hAnsi="宋体"/>
          <w:b/>
          <w:bCs/>
          <w:color w:val="000000"/>
          <w:sz w:val="24"/>
        </w:rPr>
      </w:pPr>
    </w:p>
    <w:p w14:paraId="35DAB187">
      <w:pPr>
        <w:spacing w:line="560" w:lineRule="exact"/>
        <w:ind w:firstLine="472" w:firstLineChars="196"/>
        <w:rPr>
          <w:rFonts w:ascii="宋体" w:hAnsi="宋体"/>
          <w:b/>
          <w:bCs/>
          <w:color w:val="000000"/>
          <w:sz w:val="24"/>
        </w:rPr>
      </w:pPr>
      <w:r>
        <w:rPr>
          <w:rFonts w:hint="eastAsia" w:ascii="宋体" w:hAnsi="宋体"/>
          <w:b/>
          <w:bCs/>
          <w:color w:val="000000"/>
          <w:sz w:val="24"/>
        </w:rPr>
        <w:t>注：</w:t>
      </w:r>
      <w:r>
        <w:rPr>
          <w:rFonts w:hint="eastAsia" w:ascii="宋体" w:hAnsi="宋体" w:cs="Arial"/>
          <w:b/>
          <w:bCs/>
          <w:color w:val="000000"/>
          <w:sz w:val="24"/>
        </w:rPr>
        <w:t>招标文件中部分加“</w:t>
      </w:r>
      <w:r>
        <w:rPr>
          <w:rFonts w:hint="eastAsia" w:hAnsi="宋体"/>
          <w:color w:val="000000"/>
          <w:sz w:val="24"/>
        </w:rPr>
        <w:t>★</w:t>
      </w:r>
      <w:r>
        <w:rPr>
          <w:rFonts w:hint="eastAsia" w:ascii="宋体" w:hAnsi="宋体" w:cs="Arial"/>
          <w:b/>
          <w:bCs/>
          <w:color w:val="000000"/>
          <w:sz w:val="24"/>
        </w:rPr>
        <w:t>”的条款，为招标的实质性要求和条件，着</w:t>
      </w:r>
      <w:r>
        <w:rPr>
          <w:rFonts w:hint="eastAsia" w:ascii="宋体" w:hAnsi="宋体"/>
          <w:b/>
          <w:bCs/>
          <w:color w:val="000000"/>
          <w:sz w:val="24"/>
        </w:rPr>
        <w:t>重提醒各投标人注意，并认真查看招标文件中的每一个条款及要求，因误读招标文件而造成的后果，招标人概不负责。</w:t>
      </w:r>
    </w:p>
    <w:p w14:paraId="1750120F"/>
    <w:p w14:paraId="68664068">
      <w:pPr>
        <w:pStyle w:val="15"/>
        <w:snapToGrid w:val="0"/>
        <w:spacing w:beforeLines="0" w:after="156" w:line="360" w:lineRule="auto"/>
        <w:rPr>
          <w:rFonts w:hAnsi="宋体"/>
          <w:b/>
          <w:color w:val="000000"/>
          <w:sz w:val="32"/>
          <w:szCs w:val="32"/>
        </w:rPr>
      </w:pPr>
    </w:p>
    <w:p w14:paraId="0C730506">
      <w:pPr>
        <w:pStyle w:val="21"/>
        <w:outlineLvl w:val="0"/>
        <w:sectPr>
          <w:footerReference r:id="rId3" w:type="default"/>
          <w:pgSz w:w="11906" w:h="16838"/>
          <w:pgMar w:top="1440" w:right="1599" w:bottom="1440" w:left="1797" w:header="680" w:footer="680" w:gutter="0"/>
          <w:pgBorders>
            <w:top w:val="none" w:sz="0" w:space="0"/>
            <w:left w:val="none" w:sz="0" w:space="0"/>
            <w:bottom w:val="none" w:sz="0" w:space="0"/>
            <w:right w:val="none" w:sz="0" w:space="0"/>
          </w:pgBorders>
          <w:cols w:space="425" w:num="1"/>
          <w:docGrid w:type="lines" w:linePitch="312" w:charSpace="0"/>
        </w:sectPr>
      </w:pPr>
    </w:p>
    <w:p w14:paraId="144CD4FD">
      <w:pPr>
        <w:pStyle w:val="21"/>
        <w:outlineLvl w:val="0"/>
      </w:pPr>
      <w:r>
        <w:rPr>
          <w:rFonts w:hint="eastAsia"/>
        </w:rPr>
        <w:t>第一章招标公告</w:t>
      </w:r>
      <w:bookmarkEnd w:id="2"/>
      <w:bookmarkEnd w:id="3"/>
    </w:p>
    <w:p w14:paraId="3BB9E9CB">
      <w:pPr>
        <w:autoSpaceDE w:val="0"/>
        <w:autoSpaceDN w:val="0"/>
        <w:adjustRightInd w:val="0"/>
        <w:spacing w:line="360" w:lineRule="auto"/>
        <w:ind w:firstLine="420" w:firstLineChars="200"/>
        <w:jc w:val="left"/>
        <w:rPr>
          <w:rFonts w:cs="宋体"/>
          <w:color w:val="000000"/>
          <w:szCs w:val="21"/>
          <w:lang w:val="zh-CN"/>
        </w:rPr>
      </w:pPr>
      <w:r>
        <w:rPr>
          <w:rFonts w:hint="eastAsia" w:cs="宋体"/>
          <w:color w:val="000000"/>
          <w:szCs w:val="21"/>
          <w:lang w:val="zh-CN"/>
        </w:rPr>
        <w:t>华信咨询设计研究院有限公司受温州金洋集装箱码头有限公司的委托，就温州金洋集装箱码头有限公司25吨叉车维修进行公开招标，欢迎国内合格的投标人前来投标。</w:t>
      </w:r>
    </w:p>
    <w:p w14:paraId="5515AC72">
      <w:pPr>
        <w:snapToGrid w:val="0"/>
        <w:spacing w:line="360" w:lineRule="auto"/>
        <w:ind w:firstLine="422" w:firstLineChars="200"/>
        <w:jc w:val="left"/>
        <w:rPr>
          <w:rFonts w:cs="宋体"/>
          <w:b/>
          <w:bCs/>
          <w:color w:val="000000"/>
          <w:szCs w:val="21"/>
        </w:rPr>
      </w:pPr>
      <w:r>
        <w:rPr>
          <w:rFonts w:hint="eastAsia" w:cs="宋体"/>
          <w:b/>
          <w:bCs/>
          <w:color w:val="000000"/>
          <w:szCs w:val="21"/>
        </w:rPr>
        <w:t xml:space="preserve">一、项目编号： </w:t>
      </w:r>
    </w:p>
    <w:p w14:paraId="4C31E618">
      <w:pPr>
        <w:snapToGrid w:val="0"/>
        <w:spacing w:line="360" w:lineRule="auto"/>
        <w:ind w:firstLine="422" w:firstLineChars="200"/>
        <w:jc w:val="left"/>
        <w:rPr>
          <w:rFonts w:cs="宋体"/>
          <w:b/>
          <w:bCs/>
          <w:color w:val="000000"/>
          <w:szCs w:val="21"/>
        </w:rPr>
      </w:pPr>
      <w:r>
        <w:rPr>
          <w:rFonts w:hint="eastAsia" w:cs="宋体"/>
          <w:b/>
          <w:bCs/>
          <w:color w:val="000000"/>
          <w:szCs w:val="21"/>
        </w:rPr>
        <w:t>二、本项目采用公开招标（两步开标法），资格后审方式</w:t>
      </w:r>
    </w:p>
    <w:p w14:paraId="2FA5DFBA">
      <w:pPr>
        <w:snapToGrid w:val="0"/>
        <w:spacing w:line="360" w:lineRule="auto"/>
        <w:ind w:firstLine="422" w:firstLineChars="200"/>
        <w:jc w:val="left"/>
        <w:rPr>
          <w:rFonts w:cs="宋体"/>
          <w:b/>
          <w:bCs/>
          <w:color w:val="000000"/>
          <w:szCs w:val="21"/>
        </w:rPr>
      </w:pPr>
      <w:r>
        <w:rPr>
          <w:rFonts w:hint="eastAsia" w:cs="宋体"/>
          <w:b/>
          <w:bCs/>
          <w:color w:val="000000"/>
          <w:szCs w:val="21"/>
        </w:rPr>
        <w:t>三、项目概况：</w:t>
      </w:r>
    </w:p>
    <w:p w14:paraId="3964CE84">
      <w:pPr>
        <w:snapToGrid w:val="0"/>
        <w:spacing w:line="360" w:lineRule="auto"/>
        <w:ind w:firstLine="420" w:firstLineChars="200"/>
        <w:jc w:val="left"/>
        <w:rPr>
          <w:rFonts w:cs="宋体"/>
          <w:color w:val="000000"/>
          <w:szCs w:val="21"/>
        </w:rPr>
      </w:pPr>
      <w:r>
        <w:rPr>
          <w:rFonts w:hint="eastAsia" w:cs="宋体"/>
          <w:color w:val="000000"/>
          <w:szCs w:val="21"/>
        </w:rPr>
        <w:t>（一）项目名称：温州金洋集装箱码头有限公司25吨叉车维修</w:t>
      </w:r>
    </w:p>
    <w:p w14:paraId="0F9846B1">
      <w:pPr>
        <w:snapToGrid w:val="0"/>
        <w:spacing w:line="360" w:lineRule="auto"/>
        <w:ind w:firstLine="420" w:firstLineChars="200"/>
        <w:jc w:val="left"/>
        <w:rPr>
          <w:rFonts w:cs="宋体"/>
          <w:color w:val="000000"/>
          <w:szCs w:val="21"/>
          <w:lang w:val="zh-CN"/>
        </w:rPr>
      </w:pPr>
      <w:r>
        <w:rPr>
          <w:rFonts w:hint="eastAsia" w:cs="宋体"/>
          <w:color w:val="000000"/>
          <w:szCs w:val="21"/>
        </w:rPr>
        <w:t>（二）招标</w:t>
      </w:r>
      <w:r>
        <w:rPr>
          <w:rFonts w:hint="eastAsia" w:cs="宋体"/>
          <w:color w:val="000000"/>
          <w:szCs w:val="21"/>
          <w:lang w:val="zh-CN"/>
        </w:rPr>
        <w:t>内容：</w:t>
      </w:r>
      <w:bookmarkStart w:id="4" w:name="_Hlk198727946"/>
      <w:r>
        <w:rPr>
          <w:rFonts w:hint="eastAsia" w:cs="宋体"/>
          <w:color w:val="000000"/>
          <w:szCs w:val="21"/>
          <w:lang w:val="zh-CN"/>
        </w:rPr>
        <w:t>1台25T叉车维修，维修内容包括但不限于以下事项：发动机升级更换、门架系统整体更换、对叉车内外门架总成实施整体更换、液压系统检修更换、整机外观修复涂装（</w:t>
      </w:r>
      <w:r>
        <w:rPr>
          <w:rFonts w:hint="eastAsia"/>
          <w:lang w:eastAsia="zh-CN"/>
        </w:rPr>
        <w:t>发动机升级改造</w:t>
      </w:r>
      <w:r>
        <w:rPr>
          <w:rFonts w:hint="eastAsia"/>
          <w:lang w:val="en-US" w:eastAsia="zh-CN"/>
        </w:rPr>
        <w:t>完成后，需出具</w:t>
      </w:r>
      <w:r>
        <w:rPr>
          <w:rFonts w:hint="eastAsia"/>
        </w:rPr>
        <w:t>国家环保部门认可的国四排放标准的检测证明</w:t>
      </w:r>
      <w:r>
        <w:rPr>
          <w:rFonts w:hint="eastAsia" w:cs="宋体"/>
          <w:color w:val="000000"/>
          <w:szCs w:val="21"/>
          <w:lang w:val="zh-CN"/>
        </w:rPr>
        <w:t>）。</w:t>
      </w:r>
      <w:bookmarkEnd w:id="4"/>
      <w:r>
        <w:rPr>
          <w:rFonts w:hint="eastAsia" w:cs="宋体"/>
          <w:color w:val="000000"/>
          <w:szCs w:val="21"/>
          <w:lang w:val="zh-CN"/>
        </w:rPr>
        <w:t>具体清单及要求见招标文件第二章招标需求。</w:t>
      </w:r>
    </w:p>
    <w:p w14:paraId="4D5D6461">
      <w:pPr>
        <w:snapToGrid w:val="0"/>
        <w:spacing w:line="360" w:lineRule="auto"/>
        <w:ind w:firstLine="420" w:firstLineChars="200"/>
        <w:jc w:val="left"/>
        <w:rPr>
          <w:rFonts w:cs="宋体"/>
          <w:color w:val="000000"/>
          <w:szCs w:val="21"/>
        </w:rPr>
      </w:pPr>
      <w:r>
        <w:rPr>
          <w:rFonts w:hint="eastAsia" w:cs="宋体"/>
          <w:color w:val="000000"/>
          <w:szCs w:val="21"/>
        </w:rPr>
        <w:t>（三）项目最高限价：人民币</w:t>
      </w:r>
      <w:r>
        <w:rPr>
          <w:rFonts w:hint="eastAsia" w:cs="宋体"/>
          <w:color w:val="000000"/>
          <w:szCs w:val="21"/>
          <w:lang w:eastAsia="zh-CN"/>
        </w:rPr>
        <w:t>66.4</w:t>
      </w:r>
      <w:r>
        <w:rPr>
          <w:rFonts w:hint="eastAsia" w:cs="宋体"/>
          <w:color w:val="000000"/>
          <w:szCs w:val="21"/>
          <w:lang w:val="zh-CN"/>
        </w:rPr>
        <w:t>万元（</w:t>
      </w:r>
      <w:r>
        <w:rPr>
          <w:rFonts w:hint="eastAsia" w:cs="宋体"/>
          <w:color w:val="000000"/>
          <w:szCs w:val="21"/>
        </w:rPr>
        <w:t>含税</w:t>
      </w:r>
      <w:r>
        <w:rPr>
          <w:rFonts w:hint="eastAsia" w:cs="宋体"/>
          <w:color w:val="000000"/>
          <w:szCs w:val="21"/>
          <w:lang w:val="zh-CN"/>
        </w:rPr>
        <w:t>）</w:t>
      </w:r>
      <w:r>
        <w:rPr>
          <w:rFonts w:hint="eastAsia" w:cs="宋体"/>
          <w:color w:val="000000"/>
          <w:szCs w:val="21"/>
        </w:rPr>
        <w:t>。投标人的投标报价不得超过最高限价，否则作否决投标处理。</w:t>
      </w:r>
    </w:p>
    <w:p w14:paraId="5B0B0137">
      <w:pPr>
        <w:snapToGrid w:val="0"/>
        <w:spacing w:line="360" w:lineRule="auto"/>
        <w:ind w:firstLine="420" w:firstLineChars="200"/>
        <w:jc w:val="left"/>
        <w:rPr>
          <w:rFonts w:cs="宋体"/>
          <w:color w:val="000000"/>
          <w:szCs w:val="21"/>
          <w:lang w:val="zh-CN"/>
        </w:rPr>
      </w:pPr>
      <w:r>
        <w:rPr>
          <w:rFonts w:hint="eastAsia" w:cs="宋体"/>
          <w:color w:val="000000"/>
          <w:szCs w:val="21"/>
        </w:rPr>
        <w:t>（四）</w:t>
      </w:r>
      <w:r>
        <w:rPr>
          <w:rFonts w:hint="eastAsia" w:cs="宋体"/>
          <w:color w:val="000000"/>
          <w:szCs w:val="21"/>
          <w:lang w:val="zh-CN"/>
        </w:rPr>
        <w:t>维修工期：合同签订后，接</w:t>
      </w:r>
      <w:r>
        <w:rPr>
          <w:rFonts w:hint="eastAsia" w:cs="宋体"/>
          <w:color w:val="000000"/>
          <w:szCs w:val="21"/>
        </w:rPr>
        <w:t>招标人</w:t>
      </w:r>
      <w:r>
        <w:rPr>
          <w:rFonts w:hint="eastAsia" w:cs="宋体"/>
          <w:color w:val="000000"/>
          <w:szCs w:val="21"/>
          <w:lang w:val="zh-CN"/>
        </w:rPr>
        <w:t>通知之日起</w:t>
      </w:r>
      <w:r>
        <w:rPr>
          <w:rFonts w:hint="eastAsia" w:cs="宋体"/>
          <w:color w:val="000000"/>
          <w:szCs w:val="21"/>
          <w:lang w:val="en-US" w:eastAsia="zh-CN"/>
        </w:rPr>
        <w:t>90</w:t>
      </w:r>
      <w:r>
        <w:rPr>
          <w:rFonts w:hint="eastAsia" w:cs="宋体"/>
          <w:color w:val="000000"/>
          <w:szCs w:val="21"/>
          <w:lang w:val="zh-CN"/>
        </w:rPr>
        <w:t>个日历天内完成合同范围内设备更换、维修并送回招标人指定地点且通过验收。</w:t>
      </w:r>
    </w:p>
    <w:p w14:paraId="6E908681">
      <w:pPr>
        <w:snapToGrid w:val="0"/>
        <w:spacing w:line="360" w:lineRule="auto"/>
        <w:ind w:firstLine="420" w:firstLineChars="200"/>
        <w:jc w:val="left"/>
        <w:rPr>
          <w:rFonts w:cs="宋体"/>
          <w:color w:val="000000"/>
          <w:szCs w:val="21"/>
          <w:lang w:val="zh-CN"/>
        </w:rPr>
      </w:pPr>
      <w:r>
        <w:rPr>
          <w:rFonts w:hint="eastAsia" w:cs="宋体"/>
          <w:color w:val="000000"/>
          <w:szCs w:val="21"/>
        </w:rPr>
        <w:t>（五）维修地点：中标人场地内</w:t>
      </w:r>
      <w:r>
        <w:rPr>
          <w:rFonts w:hint="eastAsia" w:cs="宋体"/>
          <w:color w:val="000000"/>
          <w:szCs w:val="21"/>
          <w:lang w:val="zh-CN"/>
        </w:rPr>
        <w:t>。</w:t>
      </w:r>
    </w:p>
    <w:p w14:paraId="35386E48">
      <w:pPr>
        <w:snapToGrid w:val="0"/>
        <w:spacing w:line="360" w:lineRule="auto"/>
        <w:ind w:firstLine="422" w:firstLineChars="200"/>
        <w:jc w:val="left"/>
        <w:rPr>
          <w:rFonts w:hint="eastAsia" w:cs="宋体"/>
          <w:b/>
          <w:bCs/>
          <w:color w:val="000000"/>
          <w:szCs w:val="21"/>
        </w:rPr>
      </w:pPr>
      <w:r>
        <w:rPr>
          <w:rFonts w:hint="eastAsia" w:cs="宋体"/>
          <w:b/>
          <w:bCs/>
          <w:color w:val="000000"/>
          <w:szCs w:val="21"/>
        </w:rPr>
        <w:t>四、合格投标人的资格要求：</w:t>
      </w:r>
    </w:p>
    <w:p w14:paraId="4AF3349E">
      <w:pPr>
        <w:snapToGrid w:val="0"/>
        <w:spacing w:line="360" w:lineRule="auto"/>
        <w:ind w:firstLine="420" w:firstLineChars="200"/>
        <w:jc w:val="left"/>
        <w:rPr>
          <w:rFonts w:hint="eastAsia" w:cs="宋体"/>
          <w:color w:val="000000"/>
          <w:szCs w:val="21"/>
        </w:rPr>
      </w:pPr>
      <w:r>
        <w:rPr>
          <w:rFonts w:hint="eastAsia" w:cs="宋体"/>
          <w:color w:val="000000"/>
          <w:szCs w:val="21"/>
        </w:rPr>
        <w:t>（一）具有独立承担民事责任的能力，具有有效的营业执照或事业单位法人证书（提供扫描件加盖公章）,经营范围必须明确包含相关检维修项目。有能力提供本次招标项目及所要求的服务；</w:t>
      </w:r>
    </w:p>
    <w:p w14:paraId="0E233C3C">
      <w:pPr>
        <w:snapToGrid w:val="0"/>
        <w:spacing w:line="360" w:lineRule="auto"/>
        <w:ind w:firstLine="420" w:firstLineChars="200"/>
        <w:jc w:val="left"/>
        <w:rPr>
          <w:rFonts w:hint="eastAsia" w:cs="宋体"/>
          <w:color w:val="000000"/>
          <w:szCs w:val="21"/>
        </w:rPr>
      </w:pPr>
      <w:r>
        <w:rPr>
          <w:rFonts w:hint="eastAsia" w:cs="宋体"/>
          <w:color w:val="000000"/>
          <w:szCs w:val="21"/>
        </w:rPr>
        <w:t>（二）投标人未被列入安全生产严重失信主体名单、失信被执行人名单、重大税收违法案件当事人名单、政府采购严重违法失信行为记录名单，信用信息以信用中国网站（www.creditchina.gov.cn）、中国政府采购网（www.ccgp.gov.cn）、应急管理部官方网站（https://zwfw.mem.gov.cn/zwthlw/pages/hlwmh/yyfw/qyaqscxycx/qyaqscxycx_index.html）公布为准；</w:t>
      </w:r>
    </w:p>
    <w:p w14:paraId="7E453F3D">
      <w:pPr>
        <w:snapToGrid w:val="0"/>
        <w:spacing w:line="360" w:lineRule="auto"/>
        <w:ind w:firstLine="420" w:firstLineChars="200"/>
        <w:jc w:val="left"/>
        <w:rPr>
          <w:rFonts w:hint="eastAsia" w:cs="宋体"/>
          <w:color w:val="000000"/>
          <w:szCs w:val="21"/>
        </w:rPr>
      </w:pPr>
      <w:r>
        <w:rPr>
          <w:rFonts w:hint="eastAsia" w:cs="宋体"/>
          <w:color w:val="000000"/>
          <w:szCs w:val="21"/>
        </w:rPr>
        <w:t>（三）具有3年及以上相关业绩经验并提供证明材料。（即合同签订时间在2023年7月1日以前，须提供合同复印件并加盖单位公章）；</w:t>
      </w:r>
    </w:p>
    <w:p w14:paraId="31E2BCEE">
      <w:pPr>
        <w:snapToGrid w:val="0"/>
        <w:spacing w:line="360" w:lineRule="auto"/>
        <w:ind w:firstLine="420" w:firstLineChars="200"/>
        <w:jc w:val="left"/>
        <w:rPr>
          <w:rFonts w:hint="eastAsia" w:cs="宋体"/>
          <w:color w:val="000000"/>
          <w:szCs w:val="21"/>
        </w:rPr>
      </w:pPr>
      <w:r>
        <w:rPr>
          <w:rFonts w:hint="eastAsia" w:cs="宋体"/>
          <w:color w:val="000000"/>
          <w:szCs w:val="21"/>
        </w:rPr>
        <w:t>（四）单位负责人为同一人或者存在控股、管理关系的不同单位，不得参加同一标段投标，否则均按否决投标处理；</w:t>
      </w:r>
    </w:p>
    <w:p w14:paraId="2FF446FF">
      <w:pPr>
        <w:snapToGrid w:val="0"/>
        <w:spacing w:line="360" w:lineRule="auto"/>
        <w:ind w:firstLine="420" w:firstLineChars="200"/>
        <w:jc w:val="left"/>
        <w:rPr>
          <w:rFonts w:hint="eastAsia" w:cs="宋体"/>
          <w:color w:val="000000"/>
          <w:szCs w:val="21"/>
        </w:rPr>
      </w:pPr>
      <w:r>
        <w:rPr>
          <w:rFonts w:hint="eastAsia" w:cs="宋体"/>
          <w:color w:val="000000"/>
          <w:szCs w:val="21"/>
        </w:rPr>
        <w:t>（五）具有有效的《特种设备生产许可证》，且许可项目包含场（厂）内专用机动车辆修理</w:t>
      </w:r>
      <w:r>
        <w:rPr>
          <w:rFonts w:hint="eastAsia" w:cs="宋体"/>
          <w:color w:val="000000"/>
          <w:szCs w:val="21"/>
          <w:lang w:eastAsia="zh-CN"/>
        </w:rPr>
        <w:t>，</w:t>
      </w:r>
      <w:r>
        <w:rPr>
          <w:rFonts w:hint="eastAsia" w:cs="宋体"/>
          <w:color w:val="000000"/>
          <w:szCs w:val="21"/>
        </w:rPr>
        <w:t>且子项目包含“机动工业车辆（叉车）。</w:t>
      </w:r>
    </w:p>
    <w:p w14:paraId="6CC3F554">
      <w:pPr>
        <w:snapToGrid w:val="0"/>
        <w:spacing w:line="360" w:lineRule="auto"/>
        <w:ind w:firstLine="420" w:firstLineChars="200"/>
        <w:jc w:val="left"/>
        <w:rPr>
          <w:rFonts w:hint="default" w:eastAsia="宋体"/>
          <w:lang w:val="en-US" w:eastAsia="zh-CN"/>
        </w:rPr>
      </w:pPr>
      <w:r>
        <w:rPr>
          <w:rFonts w:hint="eastAsia" w:cs="宋体"/>
          <w:color w:val="000000"/>
          <w:szCs w:val="21"/>
        </w:rPr>
        <w:t>（</w:t>
      </w:r>
      <w:r>
        <w:rPr>
          <w:rFonts w:hint="eastAsia" w:cs="宋体"/>
          <w:color w:val="000000"/>
          <w:szCs w:val="21"/>
          <w:lang w:val="en-US" w:eastAsia="zh-CN"/>
        </w:rPr>
        <w:t>六</w:t>
      </w:r>
      <w:r>
        <w:rPr>
          <w:rFonts w:hint="eastAsia" w:cs="宋体"/>
          <w:color w:val="000000"/>
          <w:szCs w:val="21"/>
        </w:rPr>
        <w:t>）本项目不允许联合体投标和分包转包，本次招标采用资格后审。</w:t>
      </w:r>
    </w:p>
    <w:p w14:paraId="56AABF44">
      <w:pPr>
        <w:snapToGrid w:val="0"/>
        <w:spacing w:line="360" w:lineRule="auto"/>
        <w:ind w:firstLine="422" w:firstLineChars="200"/>
        <w:jc w:val="left"/>
        <w:rPr>
          <w:rFonts w:cs="宋体"/>
          <w:b/>
          <w:bCs/>
          <w:color w:val="000000"/>
          <w:szCs w:val="21"/>
        </w:rPr>
      </w:pPr>
      <w:r>
        <w:rPr>
          <w:rFonts w:hint="eastAsia" w:cs="宋体"/>
          <w:b/>
          <w:bCs/>
          <w:color w:val="000000"/>
          <w:szCs w:val="21"/>
        </w:rPr>
        <w:t>五、招标文件的获取</w:t>
      </w:r>
    </w:p>
    <w:p w14:paraId="2B6B61EF">
      <w:pPr>
        <w:autoSpaceDE w:val="0"/>
        <w:autoSpaceDN w:val="0"/>
        <w:adjustRightInd w:val="0"/>
        <w:spacing w:line="360" w:lineRule="auto"/>
        <w:ind w:firstLine="420" w:firstLineChars="200"/>
        <w:jc w:val="left"/>
        <w:rPr>
          <w:rFonts w:cs="宋体"/>
          <w:color w:val="000000"/>
          <w:szCs w:val="21"/>
        </w:rPr>
      </w:pPr>
      <w:r>
        <w:rPr>
          <w:rFonts w:hint="eastAsia" w:cs="宋体"/>
          <w:color w:val="000000"/>
          <w:szCs w:val="21"/>
        </w:rPr>
        <w:t>（一）本项目采用电子招标投标方式，投标人可访问浙江省海港集团电子招标采购平台，从浙江省海港集团、宁波舟山港集团网站（http://www.zjseaport.com/jtww/）进入阳光工程-电子招标采购平台后进行供应商注册，并下载“浙江海港投标管家”。本项目招标文件和补充（答疑、澄清）、修改文件均通过“浙江海港投标管家”下载。</w:t>
      </w:r>
    </w:p>
    <w:p w14:paraId="40020A6A">
      <w:pPr>
        <w:snapToGrid w:val="0"/>
        <w:spacing w:line="360" w:lineRule="auto"/>
        <w:ind w:firstLine="420" w:firstLineChars="200"/>
        <w:jc w:val="left"/>
        <w:rPr>
          <w:rFonts w:cs="宋体"/>
          <w:color w:val="000000"/>
          <w:szCs w:val="21"/>
        </w:rPr>
      </w:pPr>
      <w:r>
        <w:rPr>
          <w:rFonts w:hint="eastAsia" w:cs="宋体"/>
          <w:color w:val="000000"/>
          <w:szCs w:val="21"/>
        </w:rPr>
        <w:t>（二）招标文件获取时间：2026年  月  日08时00分至2026年  月  日17时00分。</w:t>
      </w:r>
    </w:p>
    <w:p w14:paraId="7EF07E84">
      <w:pPr>
        <w:snapToGrid w:val="0"/>
        <w:spacing w:line="360" w:lineRule="auto"/>
        <w:ind w:firstLine="420" w:firstLineChars="200"/>
        <w:jc w:val="left"/>
        <w:rPr>
          <w:rFonts w:cs="宋体"/>
          <w:color w:val="000000"/>
          <w:szCs w:val="21"/>
        </w:rPr>
      </w:pPr>
      <w:r>
        <w:rPr>
          <w:rFonts w:hint="eastAsia" w:cs="宋体"/>
          <w:color w:val="000000"/>
          <w:szCs w:val="21"/>
        </w:rPr>
        <w:t>（三）未取得浙江省海港集团电子招标采购平台数字证书的投标人，投标前应先办理浙江省海港集团电子招标采购平台CA数字证书，具体办理指南及下载链接请至浙江省海港集团电子招标采购平台进行查看。</w:t>
      </w:r>
    </w:p>
    <w:p w14:paraId="0FF72883">
      <w:pPr>
        <w:snapToGrid w:val="0"/>
        <w:spacing w:line="360" w:lineRule="auto"/>
        <w:ind w:firstLine="422" w:firstLineChars="200"/>
        <w:jc w:val="left"/>
        <w:rPr>
          <w:rFonts w:cs="宋体"/>
          <w:b/>
          <w:bCs/>
          <w:color w:val="000000"/>
          <w:szCs w:val="21"/>
        </w:rPr>
      </w:pPr>
      <w:r>
        <w:rPr>
          <w:rFonts w:hint="eastAsia" w:cs="宋体"/>
          <w:b/>
          <w:bCs/>
          <w:color w:val="000000"/>
          <w:szCs w:val="21"/>
        </w:rPr>
        <w:t>六、投标保证金</w:t>
      </w:r>
    </w:p>
    <w:p w14:paraId="30783509">
      <w:pPr>
        <w:snapToGrid w:val="0"/>
        <w:spacing w:line="360" w:lineRule="auto"/>
        <w:ind w:firstLine="420" w:firstLineChars="200"/>
        <w:jc w:val="left"/>
        <w:rPr>
          <w:rFonts w:cs="宋体"/>
          <w:color w:val="000000"/>
          <w:szCs w:val="21"/>
        </w:rPr>
      </w:pPr>
      <w:r>
        <w:rPr>
          <w:rFonts w:hint="eastAsia" w:cs="宋体"/>
          <w:color w:val="000000"/>
          <w:szCs w:val="21"/>
        </w:rPr>
        <w:t>（一）金额：壹万元整（小写：¥10000.00）。</w:t>
      </w:r>
    </w:p>
    <w:p w14:paraId="1B5481D6">
      <w:pPr>
        <w:snapToGrid w:val="0"/>
        <w:spacing w:line="360" w:lineRule="auto"/>
        <w:ind w:firstLine="420" w:firstLineChars="200"/>
        <w:jc w:val="left"/>
        <w:rPr>
          <w:rFonts w:cs="宋体"/>
          <w:color w:val="000000"/>
          <w:szCs w:val="21"/>
        </w:rPr>
      </w:pPr>
      <w:r>
        <w:rPr>
          <w:rFonts w:hint="eastAsia" w:cs="宋体"/>
          <w:color w:val="000000"/>
          <w:szCs w:val="21"/>
        </w:rPr>
        <w:t>（二）投标人应于2026年  月  日12:00 前通过浙江省海港集团电子招标采购平台汇入指定账户，否则视为投标保证金无效。</w:t>
      </w:r>
    </w:p>
    <w:p w14:paraId="09F940B7">
      <w:pPr>
        <w:snapToGrid w:val="0"/>
        <w:spacing w:line="360" w:lineRule="auto"/>
        <w:ind w:firstLine="420" w:firstLineChars="200"/>
        <w:jc w:val="left"/>
        <w:rPr>
          <w:rFonts w:cs="宋体"/>
          <w:color w:val="000000"/>
          <w:szCs w:val="21"/>
        </w:rPr>
      </w:pPr>
      <w:r>
        <w:rPr>
          <w:rFonts w:hint="eastAsia" w:cs="宋体"/>
          <w:color w:val="000000"/>
          <w:szCs w:val="21"/>
        </w:rPr>
        <w:t>（三）投标保证金应通过投标人银行基本账户汇入，否则视为投标保证金无效。</w:t>
      </w:r>
    </w:p>
    <w:p w14:paraId="4BCB6777">
      <w:pPr>
        <w:snapToGrid w:val="0"/>
        <w:spacing w:line="360" w:lineRule="auto"/>
        <w:ind w:firstLine="422" w:firstLineChars="200"/>
        <w:jc w:val="left"/>
        <w:rPr>
          <w:rFonts w:cs="宋体"/>
          <w:b/>
          <w:bCs/>
          <w:color w:val="000000"/>
          <w:szCs w:val="21"/>
        </w:rPr>
      </w:pPr>
      <w:r>
        <w:rPr>
          <w:rFonts w:hint="eastAsia" w:cs="宋体"/>
          <w:b/>
          <w:bCs/>
          <w:color w:val="000000"/>
          <w:szCs w:val="21"/>
        </w:rPr>
        <w:t>七、投标截止时间和地点</w:t>
      </w:r>
    </w:p>
    <w:p w14:paraId="59D651C9">
      <w:pPr>
        <w:snapToGrid w:val="0"/>
        <w:spacing w:line="360" w:lineRule="auto"/>
        <w:ind w:firstLine="420" w:firstLineChars="200"/>
        <w:jc w:val="left"/>
        <w:rPr>
          <w:rFonts w:cs="宋体"/>
          <w:color w:val="000000"/>
          <w:szCs w:val="21"/>
        </w:rPr>
      </w:pPr>
      <w:r>
        <w:rPr>
          <w:rFonts w:hint="eastAsia" w:cs="宋体"/>
          <w:color w:val="000000"/>
          <w:szCs w:val="21"/>
        </w:rPr>
        <w:t>（一）投标文件递交截止时间：2026年  月  日9时00分。</w:t>
      </w:r>
    </w:p>
    <w:p w14:paraId="16FD366A">
      <w:pPr>
        <w:snapToGrid w:val="0"/>
        <w:spacing w:line="360" w:lineRule="auto"/>
        <w:ind w:firstLine="420" w:firstLineChars="200"/>
        <w:jc w:val="left"/>
        <w:rPr>
          <w:rFonts w:cs="宋体"/>
          <w:color w:val="000000"/>
          <w:szCs w:val="21"/>
        </w:rPr>
      </w:pPr>
      <w:r>
        <w:rPr>
          <w:rFonts w:hint="eastAsia" w:cs="宋体"/>
          <w:color w:val="000000"/>
          <w:szCs w:val="21"/>
        </w:rPr>
        <w:t>（二）投标文件递交方式：</w:t>
      </w:r>
    </w:p>
    <w:p w14:paraId="6509B7AE">
      <w:pPr>
        <w:snapToGrid w:val="0"/>
        <w:spacing w:line="360" w:lineRule="auto"/>
        <w:ind w:firstLine="420" w:firstLineChars="200"/>
        <w:jc w:val="left"/>
        <w:rPr>
          <w:rFonts w:cs="宋体"/>
          <w:color w:val="000000"/>
          <w:szCs w:val="21"/>
        </w:rPr>
      </w:pPr>
      <w:r>
        <w:rPr>
          <w:rFonts w:hint="eastAsia" w:cs="宋体"/>
          <w:color w:val="000000"/>
          <w:szCs w:val="21"/>
        </w:rPr>
        <w:t>线上递交方式（投标管家工具）：投标人在投标文件递交时间截止前（2026年  月  日9时00分），将电子投标文件加密后递交至电子招标采购平台。</w:t>
      </w:r>
    </w:p>
    <w:p w14:paraId="4E78873B">
      <w:pPr>
        <w:snapToGrid w:val="0"/>
        <w:spacing w:line="360" w:lineRule="auto"/>
        <w:ind w:firstLine="422" w:firstLineChars="200"/>
        <w:jc w:val="left"/>
        <w:rPr>
          <w:rFonts w:cs="宋体"/>
          <w:b/>
          <w:bCs/>
          <w:color w:val="000000"/>
          <w:szCs w:val="21"/>
        </w:rPr>
      </w:pPr>
      <w:r>
        <w:rPr>
          <w:rFonts w:hint="eastAsia" w:cs="宋体"/>
          <w:b/>
          <w:bCs/>
          <w:color w:val="000000"/>
          <w:szCs w:val="21"/>
        </w:rPr>
        <w:t>八、开标时间地点及注意事项</w:t>
      </w:r>
    </w:p>
    <w:p w14:paraId="0F2EAA63">
      <w:pPr>
        <w:snapToGrid w:val="0"/>
        <w:spacing w:line="360" w:lineRule="auto"/>
        <w:ind w:firstLine="420" w:firstLineChars="200"/>
        <w:jc w:val="left"/>
        <w:rPr>
          <w:rFonts w:cs="宋体"/>
          <w:color w:val="000000"/>
          <w:szCs w:val="21"/>
        </w:rPr>
      </w:pPr>
      <w:r>
        <w:rPr>
          <w:rFonts w:hint="eastAsia" w:cs="宋体"/>
          <w:color w:val="000000"/>
          <w:szCs w:val="21"/>
        </w:rPr>
        <w:t>本次招标将于2026年  月  日9时00分在温州市鹿城区瓯江路海港大厦1幢2楼招标采购中心在线公开开标。</w:t>
      </w:r>
    </w:p>
    <w:p w14:paraId="4E597500">
      <w:pPr>
        <w:snapToGrid w:val="0"/>
        <w:spacing w:line="360" w:lineRule="auto"/>
        <w:ind w:firstLine="422" w:firstLineChars="200"/>
        <w:jc w:val="left"/>
        <w:rPr>
          <w:rFonts w:cs="宋体"/>
          <w:b/>
          <w:bCs/>
          <w:color w:val="000000"/>
          <w:szCs w:val="21"/>
        </w:rPr>
      </w:pPr>
      <w:r>
        <w:rPr>
          <w:rFonts w:hint="eastAsia" w:cs="宋体"/>
          <w:b/>
          <w:bCs/>
          <w:color w:val="000000"/>
          <w:szCs w:val="21"/>
        </w:rPr>
        <w:t>注意事项</w:t>
      </w:r>
    </w:p>
    <w:p w14:paraId="057FBE15">
      <w:pPr>
        <w:snapToGrid w:val="0"/>
        <w:spacing w:line="360" w:lineRule="auto"/>
        <w:ind w:firstLine="420" w:firstLineChars="200"/>
        <w:jc w:val="left"/>
        <w:rPr>
          <w:rFonts w:cs="宋体"/>
          <w:color w:val="000000"/>
          <w:szCs w:val="21"/>
        </w:rPr>
      </w:pPr>
      <w:r>
        <w:rPr>
          <w:rFonts w:hint="eastAsia" w:cs="宋体"/>
          <w:color w:val="000000"/>
          <w:szCs w:val="21"/>
        </w:rPr>
        <w:t>（一）本项目采用两步开标法，第一阶段先开启各投标人的“资审文件”及“商务技术标”，第二阶段待“资审文件”及“商务技术标”完成评审公布结果后，开启各投标人的“价格标”。</w:t>
      </w:r>
    </w:p>
    <w:p w14:paraId="26591026">
      <w:pPr>
        <w:snapToGrid w:val="0"/>
        <w:spacing w:line="360" w:lineRule="auto"/>
        <w:ind w:firstLine="420" w:firstLineChars="200"/>
        <w:jc w:val="left"/>
        <w:rPr>
          <w:rFonts w:cs="宋体"/>
          <w:color w:val="000000"/>
          <w:szCs w:val="21"/>
        </w:rPr>
      </w:pPr>
      <w:r>
        <w:rPr>
          <w:rFonts w:hint="eastAsia" w:cs="宋体"/>
          <w:color w:val="000000"/>
          <w:szCs w:val="21"/>
        </w:rPr>
        <w:t>（二）各投标人提交的“资格文件”及“商务技术标”不得出现本项目的“价格标”内容及投标报价，否则作无效标处理。</w:t>
      </w:r>
    </w:p>
    <w:p w14:paraId="527A8A8C">
      <w:pPr>
        <w:snapToGrid w:val="0"/>
        <w:spacing w:line="360" w:lineRule="auto"/>
        <w:ind w:firstLine="420" w:firstLineChars="200"/>
        <w:jc w:val="left"/>
        <w:rPr>
          <w:rFonts w:cs="宋体"/>
          <w:color w:val="000000"/>
          <w:szCs w:val="21"/>
        </w:rPr>
      </w:pPr>
      <w:r>
        <w:rPr>
          <w:rFonts w:hint="eastAsia" w:cs="宋体"/>
          <w:color w:val="000000"/>
          <w:szCs w:val="21"/>
        </w:rPr>
        <w:t xml:space="preserve">（三）投标人于投标截止时间之后三十分钟内在“浙江海港投标管家”工具端—进入项目—开标—远程开标模块，点击“确认开标结果”按钮进行确认，如超时未确认，视作投标人已对开标结果确认无误。 </w:t>
      </w:r>
    </w:p>
    <w:p w14:paraId="17FFEDDE">
      <w:pPr>
        <w:snapToGrid w:val="0"/>
        <w:spacing w:line="360" w:lineRule="auto"/>
        <w:ind w:firstLine="420" w:firstLineChars="200"/>
        <w:jc w:val="left"/>
        <w:rPr>
          <w:rFonts w:cs="宋体"/>
          <w:color w:val="000000"/>
          <w:szCs w:val="21"/>
        </w:rPr>
      </w:pPr>
      <w:r>
        <w:rPr>
          <w:rFonts w:hint="eastAsia" w:cs="宋体"/>
          <w:color w:val="000000"/>
          <w:szCs w:val="21"/>
        </w:rPr>
        <w:t>（四）本项目采用电子招标，中标人须在明确中标后、获取中标通知书前将相应的交易服务费缴入平台指定的集团账户（在“投标管家”工具中查看），具体收费标准详见招标文件或平台公告。</w:t>
      </w:r>
    </w:p>
    <w:p w14:paraId="037930CE">
      <w:pPr>
        <w:snapToGrid w:val="0"/>
        <w:spacing w:line="360" w:lineRule="auto"/>
        <w:ind w:firstLine="420" w:firstLineChars="200"/>
        <w:jc w:val="left"/>
        <w:rPr>
          <w:rFonts w:cs="宋体"/>
          <w:color w:val="000000"/>
          <w:szCs w:val="21"/>
        </w:rPr>
      </w:pPr>
    </w:p>
    <w:p w14:paraId="6E08A2FB">
      <w:pPr>
        <w:snapToGrid w:val="0"/>
        <w:spacing w:line="360" w:lineRule="auto"/>
        <w:ind w:firstLine="424" w:firstLineChars="201"/>
        <w:rPr>
          <w:b/>
          <w:color w:val="000000"/>
          <w:szCs w:val="21"/>
        </w:rPr>
      </w:pPr>
      <w:r>
        <w:rPr>
          <w:rFonts w:hint="eastAsia"/>
          <w:b/>
          <w:color w:val="000000"/>
          <w:szCs w:val="21"/>
        </w:rPr>
        <w:t>九、联系方式</w:t>
      </w:r>
    </w:p>
    <w:p w14:paraId="6348BCFB">
      <w:pPr>
        <w:autoSpaceDE w:val="0"/>
        <w:autoSpaceDN w:val="0"/>
        <w:adjustRightInd w:val="0"/>
        <w:spacing w:line="360" w:lineRule="auto"/>
        <w:ind w:firstLine="420" w:firstLineChars="200"/>
        <w:jc w:val="left"/>
        <w:rPr>
          <w:bCs/>
          <w:kern w:val="0"/>
          <w:szCs w:val="21"/>
        </w:rPr>
      </w:pPr>
      <w:r>
        <w:rPr>
          <w:rFonts w:hint="eastAsia"/>
          <w:bCs/>
          <w:kern w:val="0"/>
          <w:szCs w:val="21"/>
        </w:rPr>
        <w:t>招标人：温州金洋集装箱码头有限公司</w:t>
      </w:r>
    </w:p>
    <w:p w14:paraId="3ED92DF1">
      <w:pPr>
        <w:autoSpaceDE w:val="0"/>
        <w:autoSpaceDN w:val="0"/>
        <w:adjustRightInd w:val="0"/>
        <w:spacing w:line="360" w:lineRule="auto"/>
        <w:ind w:firstLine="420" w:firstLineChars="200"/>
        <w:jc w:val="left"/>
        <w:rPr>
          <w:bCs/>
          <w:kern w:val="0"/>
          <w:szCs w:val="21"/>
        </w:rPr>
      </w:pPr>
      <w:r>
        <w:rPr>
          <w:rFonts w:hint="eastAsia"/>
          <w:bCs/>
          <w:kern w:val="0"/>
          <w:szCs w:val="21"/>
        </w:rPr>
        <w:t>地  址：温州市乐清七里港镇</w:t>
      </w:r>
    </w:p>
    <w:p w14:paraId="3D9DA968">
      <w:pPr>
        <w:autoSpaceDE w:val="0"/>
        <w:autoSpaceDN w:val="0"/>
        <w:adjustRightInd w:val="0"/>
        <w:spacing w:line="360" w:lineRule="auto"/>
        <w:ind w:firstLine="420" w:firstLineChars="200"/>
        <w:jc w:val="left"/>
        <w:rPr>
          <w:bCs/>
          <w:kern w:val="0"/>
          <w:szCs w:val="21"/>
        </w:rPr>
      </w:pPr>
      <w:r>
        <w:rPr>
          <w:rFonts w:hint="eastAsia"/>
          <w:bCs/>
          <w:kern w:val="0"/>
          <w:szCs w:val="21"/>
        </w:rPr>
        <w:t>联系人：刘先生</w:t>
      </w:r>
    </w:p>
    <w:p w14:paraId="2C85994E">
      <w:pPr>
        <w:autoSpaceDE w:val="0"/>
        <w:autoSpaceDN w:val="0"/>
        <w:adjustRightInd w:val="0"/>
        <w:spacing w:line="360" w:lineRule="auto"/>
        <w:ind w:firstLine="420" w:firstLineChars="200"/>
        <w:jc w:val="left"/>
        <w:rPr>
          <w:bCs/>
          <w:kern w:val="0"/>
          <w:szCs w:val="21"/>
        </w:rPr>
      </w:pPr>
      <w:r>
        <w:rPr>
          <w:rFonts w:hint="eastAsia"/>
          <w:bCs/>
          <w:kern w:val="0"/>
          <w:szCs w:val="21"/>
        </w:rPr>
        <w:t>联系电话：0577-62677793</w:t>
      </w:r>
    </w:p>
    <w:p w14:paraId="53A4048F">
      <w:pPr>
        <w:autoSpaceDE w:val="0"/>
        <w:autoSpaceDN w:val="0"/>
        <w:adjustRightInd w:val="0"/>
        <w:spacing w:line="360" w:lineRule="auto"/>
        <w:ind w:firstLine="420" w:firstLineChars="200"/>
        <w:jc w:val="left"/>
        <w:rPr>
          <w:bCs/>
          <w:kern w:val="0"/>
          <w:szCs w:val="21"/>
        </w:rPr>
      </w:pPr>
      <w:r>
        <w:rPr>
          <w:rFonts w:hint="eastAsia"/>
          <w:bCs/>
          <w:kern w:val="0"/>
          <w:szCs w:val="21"/>
        </w:rPr>
        <w:t>招标代理人：华信咨询设计研究院有限公司</w:t>
      </w:r>
    </w:p>
    <w:p w14:paraId="2CB57345">
      <w:pPr>
        <w:autoSpaceDE w:val="0"/>
        <w:autoSpaceDN w:val="0"/>
        <w:adjustRightInd w:val="0"/>
        <w:spacing w:line="360" w:lineRule="auto"/>
        <w:ind w:firstLine="420" w:firstLineChars="200"/>
        <w:jc w:val="left"/>
        <w:rPr>
          <w:bCs/>
          <w:kern w:val="0"/>
          <w:szCs w:val="21"/>
        </w:rPr>
      </w:pPr>
      <w:r>
        <w:rPr>
          <w:rFonts w:hint="eastAsia"/>
          <w:bCs/>
          <w:kern w:val="0"/>
          <w:szCs w:val="21"/>
        </w:rPr>
        <w:t>地址：杭州市滨江区春波路999号</w:t>
      </w:r>
    </w:p>
    <w:p w14:paraId="166EB0B1">
      <w:pPr>
        <w:autoSpaceDE w:val="0"/>
        <w:autoSpaceDN w:val="0"/>
        <w:adjustRightInd w:val="0"/>
        <w:spacing w:line="360" w:lineRule="auto"/>
        <w:ind w:firstLine="420" w:firstLineChars="200"/>
        <w:jc w:val="left"/>
        <w:rPr>
          <w:bCs/>
          <w:kern w:val="0"/>
          <w:szCs w:val="21"/>
        </w:rPr>
      </w:pPr>
      <w:r>
        <w:rPr>
          <w:rFonts w:hint="eastAsia"/>
          <w:bCs/>
          <w:kern w:val="0"/>
          <w:szCs w:val="21"/>
        </w:rPr>
        <w:t>联系人：尚云飞、羊奕杭、王鑫霖</w:t>
      </w:r>
    </w:p>
    <w:p w14:paraId="49682C70">
      <w:pPr>
        <w:autoSpaceDE w:val="0"/>
        <w:autoSpaceDN w:val="0"/>
        <w:adjustRightInd w:val="0"/>
        <w:spacing w:line="360" w:lineRule="auto"/>
        <w:ind w:firstLine="420" w:firstLineChars="200"/>
        <w:jc w:val="left"/>
        <w:rPr>
          <w:bCs/>
          <w:kern w:val="0"/>
          <w:szCs w:val="21"/>
        </w:rPr>
      </w:pPr>
      <w:r>
        <w:rPr>
          <w:rFonts w:hint="eastAsia"/>
          <w:bCs/>
          <w:kern w:val="0"/>
          <w:szCs w:val="21"/>
        </w:rPr>
        <w:t>联系电话：15225996022、15257143905</w:t>
      </w:r>
    </w:p>
    <w:p w14:paraId="3D779624">
      <w:pPr>
        <w:autoSpaceDE w:val="0"/>
        <w:autoSpaceDN w:val="0"/>
        <w:adjustRightInd w:val="0"/>
        <w:spacing w:line="360" w:lineRule="auto"/>
        <w:ind w:firstLine="420" w:firstLineChars="200"/>
        <w:jc w:val="left"/>
        <w:rPr>
          <w:bCs/>
          <w:kern w:val="0"/>
          <w:szCs w:val="21"/>
        </w:rPr>
      </w:pPr>
      <w:r>
        <w:rPr>
          <w:rFonts w:hint="eastAsia"/>
          <w:bCs/>
          <w:kern w:val="0"/>
          <w:szCs w:val="21"/>
        </w:rPr>
        <w:t>投诉受理电话/邮箱：18758271840/328814049@qq.com</w:t>
      </w:r>
    </w:p>
    <w:p w14:paraId="54916169">
      <w:pPr>
        <w:autoSpaceDE w:val="0"/>
        <w:autoSpaceDN w:val="0"/>
        <w:adjustRightInd w:val="0"/>
        <w:spacing w:line="360" w:lineRule="auto"/>
        <w:ind w:firstLine="420" w:firstLineChars="200"/>
        <w:jc w:val="left"/>
        <w:rPr>
          <w:bCs/>
          <w:kern w:val="0"/>
          <w:szCs w:val="21"/>
        </w:rPr>
      </w:pPr>
      <w:r>
        <w:rPr>
          <w:rFonts w:hint="eastAsia"/>
          <w:bCs/>
          <w:kern w:val="0"/>
          <w:szCs w:val="21"/>
        </w:rPr>
        <w:t>电子招标采购平台咨询电话：0574-27680520</w:t>
      </w:r>
    </w:p>
    <w:p w14:paraId="5E6CED16">
      <w:pPr>
        <w:autoSpaceDE w:val="0"/>
        <w:autoSpaceDN w:val="0"/>
        <w:adjustRightInd w:val="0"/>
        <w:spacing w:line="360" w:lineRule="auto"/>
        <w:ind w:firstLine="420" w:firstLineChars="200"/>
        <w:jc w:val="left"/>
        <w:rPr>
          <w:bCs/>
          <w:kern w:val="0"/>
          <w:szCs w:val="21"/>
        </w:rPr>
      </w:pPr>
      <w:r>
        <w:rPr>
          <w:rFonts w:hint="eastAsia"/>
          <w:bCs/>
          <w:kern w:val="0"/>
          <w:szCs w:val="21"/>
        </w:rPr>
        <w:t>CA咨询热线：400-666-4230</w:t>
      </w:r>
    </w:p>
    <w:p w14:paraId="1D9B35FF">
      <w:pPr>
        <w:autoSpaceDE w:val="0"/>
        <w:autoSpaceDN w:val="0"/>
        <w:adjustRightInd w:val="0"/>
        <w:spacing w:line="360" w:lineRule="auto"/>
        <w:ind w:firstLine="420" w:firstLineChars="200"/>
        <w:jc w:val="left"/>
        <w:rPr>
          <w:rFonts w:asciiTheme="minorEastAsia" w:hAnsiTheme="minorEastAsia" w:eastAsiaTheme="minorEastAsia"/>
          <w:bCs/>
          <w:kern w:val="0"/>
          <w:szCs w:val="21"/>
        </w:rPr>
      </w:pPr>
    </w:p>
    <w:p w14:paraId="6A303436">
      <w:pPr>
        <w:pStyle w:val="21"/>
        <w:outlineLvl w:val="0"/>
      </w:pPr>
      <w:bookmarkStart w:id="5" w:name="_Toc2948"/>
      <w:bookmarkStart w:id="6" w:name="_Toc50128368"/>
      <w:r>
        <w:rPr>
          <w:rFonts w:hint="eastAsia"/>
        </w:rPr>
        <w:br w:type="column"/>
      </w:r>
      <w:r>
        <w:rPr>
          <w:rFonts w:hint="eastAsia"/>
        </w:rPr>
        <w:t>第二章招标需求</w:t>
      </w:r>
      <w:bookmarkEnd w:id="5"/>
      <w:bookmarkEnd w:id="6"/>
    </w:p>
    <w:p w14:paraId="625ADED0">
      <w:pPr>
        <w:tabs>
          <w:tab w:val="left" w:pos="720"/>
        </w:tabs>
        <w:snapToGrid w:val="0"/>
        <w:spacing w:before="78" w:beforeLines="25" w:after="78" w:afterLines="25" w:line="312" w:lineRule="auto"/>
        <w:outlineLvl w:val="1"/>
        <w:rPr>
          <w:rFonts w:ascii="宋体" w:hAnsi="宋体" w:cs="宋体"/>
          <w:b/>
          <w:kern w:val="0"/>
          <w:szCs w:val="21"/>
        </w:rPr>
      </w:pPr>
      <w:r>
        <w:rPr>
          <w:rFonts w:hint="eastAsia" w:ascii="宋体" w:hAnsi="宋体" w:cs="宋体"/>
          <w:b/>
          <w:kern w:val="0"/>
          <w:szCs w:val="21"/>
        </w:rPr>
        <w:t>一、项目内容</w:t>
      </w:r>
    </w:p>
    <w:tbl>
      <w:tblPr>
        <w:tblStyle w:val="2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09"/>
        <w:gridCol w:w="6719"/>
      </w:tblGrid>
      <w:tr w14:paraId="7E0434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809" w:type="dxa"/>
            <w:tcBorders>
              <w:top w:val="single" w:color="auto" w:sz="4" w:space="0"/>
              <w:left w:val="single" w:color="auto" w:sz="4" w:space="0"/>
              <w:bottom w:val="single" w:color="auto" w:sz="4" w:space="0"/>
              <w:right w:val="single" w:color="auto" w:sz="4" w:space="0"/>
            </w:tcBorders>
            <w:vAlign w:val="center"/>
          </w:tcPr>
          <w:p w14:paraId="11F6E4F3">
            <w:pPr>
              <w:spacing w:line="400" w:lineRule="exact"/>
              <w:ind w:firstLine="420"/>
              <w:rPr>
                <w:szCs w:val="21"/>
              </w:rPr>
            </w:pPr>
            <w:r>
              <w:rPr>
                <w:szCs w:val="21"/>
              </w:rPr>
              <w:t>招标内容</w:t>
            </w:r>
          </w:p>
        </w:tc>
        <w:tc>
          <w:tcPr>
            <w:tcW w:w="6719" w:type="dxa"/>
            <w:tcBorders>
              <w:top w:val="single" w:color="auto" w:sz="4" w:space="0"/>
              <w:left w:val="single" w:color="auto" w:sz="4" w:space="0"/>
              <w:bottom w:val="single" w:color="auto" w:sz="4" w:space="0"/>
              <w:right w:val="single" w:color="auto" w:sz="4" w:space="0"/>
            </w:tcBorders>
            <w:vAlign w:val="center"/>
          </w:tcPr>
          <w:p w14:paraId="3B62CE81">
            <w:pPr>
              <w:spacing w:line="400" w:lineRule="exact"/>
              <w:rPr>
                <w:szCs w:val="21"/>
              </w:rPr>
            </w:pPr>
            <w:r>
              <w:rPr>
                <w:rFonts w:hint="eastAsia"/>
                <w:szCs w:val="21"/>
              </w:rPr>
              <w:t>温州金洋集装箱码头有限公司25吨叉车维修</w:t>
            </w:r>
          </w:p>
        </w:tc>
      </w:tr>
    </w:tbl>
    <w:p w14:paraId="2BC4262D">
      <w:pPr>
        <w:spacing w:line="360" w:lineRule="auto"/>
        <w:ind w:firstLine="420" w:firstLineChars="200"/>
        <w:rPr>
          <w:rFonts w:ascii="宋体" w:hAnsi="宋体" w:cs="宋体"/>
          <w:kern w:val="0"/>
          <w:szCs w:val="21"/>
        </w:rPr>
      </w:pPr>
    </w:p>
    <w:p w14:paraId="1B19B403">
      <w:pPr>
        <w:tabs>
          <w:tab w:val="left" w:pos="720"/>
        </w:tabs>
        <w:snapToGrid w:val="0"/>
        <w:spacing w:before="78" w:beforeLines="25" w:after="78" w:afterLines="25" w:line="312" w:lineRule="auto"/>
        <w:outlineLvl w:val="1"/>
        <w:rPr>
          <w:rFonts w:ascii="宋体" w:hAnsi="宋体" w:cs="宋体"/>
          <w:b/>
          <w:kern w:val="0"/>
          <w:szCs w:val="21"/>
        </w:rPr>
      </w:pPr>
      <w:r>
        <w:rPr>
          <w:rFonts w:hint="eastAsia" w:ascii="宋体" w:hAnsi="宋体" w:cs="宋体"/>
          <w:b/>
          <w:kern w:val="0"/>
          <w:szCs w:val="21"/>
        </w:rPr>
        <w:t>二、商务要求</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3"/>
        <w:gridCol w:w="6719"/>
      </w:tblGrid>
      <w:tr w14:paraId="281E1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3" w:type="dxa"/>
            <w:vAlign w:val="center"/>
          </w:tcPr>
          <w:p w14:paraId="1B9EE2CD">
            <w:pPr>
              <w:tabs>
                <w:tab w:val="left" w:pos="312"/>
              </w:tabs>
              <w:spacing w:line="400" w:lineRule="exact"/>
              <w:jc w:val="center"/>
              <w:rPr>
                <w:rFonts w:ascii="宋体" w:hAnsi="宋体" w:cs="宋体"/>
                <w:kern w:val="0"/>
                <w:szCs w:val="21"/>
              </w:rPr>
            </w:pPr>
            <w:r>
              <w:rPr>
                <w:rFonts w:hint="eastAsia" w:ascii="宋体" w:hAnsi="宋体" w:cs="宋体"/>
                <w:kern w:val="0"/>
                <w:szCs w:val="21"/>
              </w:rPr>
              <w:t>维修工期及维修地点</w:t>
            </w:r>
          </w:p>
        </w:tc>
        <w:tc>
          <w:tcPr>
            <w:tcW w:w="6719" w:type="dxa"/>
            <w:vAlign w:val="center"/>
          </w:tcPr>
          <w:p w14:paraId="4C77C4E8">
            <w:pPr>
              <w:tabs>
                <w:tab w:val="left" w:pos="312"/>
              </w:tabs>
              <w:spacing w:line="400" w:lineRule="exact"/>
              <w:rPr>
                <w:rFonts w:ascii="宋体" w:hAnsi="宋体" w:cs="宋体"/>
                <w:kern w:val="0"/>
                <w:szCs w:val="21"/>
              </w:rPr>
            </w:pPr>
            <w:r>
              <w:rPr>
                <w:rFonts w:hint="eastAsia" w:ascii="宋体" w:hAnsi="宋体" w:cs="宋体"/>
                <w:kern w:val="0"/>
                <w:szCs w:val="21"/>
              </w:rPr>
              <w:t>维修工期：合同签订后，接招标人通知之日起</w:t>
            </w:r>
            <w:r>
              <w:rPr>
                <w:rFonts w:hint="eastAsia" w:ascii="宋体" w:hAnsi="宋体" w:cs="宋体"/>
                <w:kern w:val="0"/>
                <w:szCs w:val="21"/>
                <w:lang w:eastAsia="zh-CN"/>
              </w:rPr>
              <w:t>90</w:t>
            </w:r>
            <w:r>
              <w:rPr>
                <w:rFonts w:hint="eastAsia" w:ascii="宋体" w:hAnsi="宋体" w:cs="宋体"/>
                <w:kern w:val="0"/>
                <w:szCs w:val="21"/>
              </w:rPr>
              <w:t>个日历天内完成合同范围内设备更换、维修并送回招标人指定地点且通过验收。</w:t>
            </w:r>
          </w:p>
          <w:p w14:paraId="0C8871CD">
            <w:pPr>
              <w:tabs>
                <w:tab w:val="left" w:pos="312"/>
              </w:tabs>
              <w:spacing w:line="400" w:lineRule="exact"/>
              <w:rPr>
                <w:rFonts w:ascii="宋体" w:hAnsi="宋体" w:cs="宋体"/>
                <w:kern w:val="0"/>
                <w:szCs w:val="21"/>
              </w:rPr>
            </w:pPr>
            <w:r>
              <w:rPr>
                <w:rFonts w:hint="eastAsia" w:ascii="宋体" w:hAnsi="宋体" w:cs="宋体"/>
                <w:kern w:val="0"/>
                <w:szCs w:val="21"/>
              </w:rPr>
              <w:t>维修地点：中标人场地内</w:t>
            </w:r>
          </w:p>
        </w:tc>
      </w:tr>
      <w:tr w14:paraId="1F24A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3" w:type="dxa"/>
            <w:vAlign w:val="center"/>
          </w:tcPr>
          <w:p w14:paraId="2F53999A">
            <w:pPr>
              <w:wordWrap w:val="0"/>
              <w:spacing w:line="360" w:lineRule="auto"/>
              <w:jc w:val="center"/>
              <w:rPr>
                <w:rFonts w:ascii="宋体" w:hAnsi="宋体" w:cs="宋体"/>
                <w:kern w:val="0"/>
                <w:szCs w:val="21"/>
              </w:rPr>
            </w:pPr>
            <w:r>
              <w:rPr>
                <w:rFonts w:hint="eastAsia" w:ascii="宋体" w:hAnsi="宋体" w:cs="宋体"/>
                <w:b/>
                <w:bCs/>
                <w:sz w:val="22"/>
                <w:szCs w:val="22"/>
              </w:rPr>
              <w:t>★质保期</w:t>
            </w:r>
          </w:p>
        </w:tc>
        <w:tc>
          <w:tcPr>
            <w:tcW w:w="6719" w:type="dxa"/>
            <w:vAlign w:val="center"/>
          </w:tcPr>
          <w:p w14:paraId="2E87EB9F">
            <w:pPr>
              <w:wordWrap w:val="0"/>
              <w:spacing w:line="360" w:lineRule="auto"/>
              <w:jc w:val="left"/>
              <w:rPr>
                <w:rFonts w:ascii="宋体" w:hAnsi="宋体" w:cs="宋体"/>
                <w:kern w:val="0"/>
                <w:szCs w:val="21"/>
              </w:rPr>
            </w:pPr>
            <w:r>
              <w:rPr>
                <w:rFonts w:hint="eastAsia" w:ascii="宋体" w:hAnsi="宋体" w:cs="宋体"/>
                <w:color w:val="000000"/>
                <w:kern w:val="0"/>
                <w:sz w:val="22"/>
                <w:szCs w:val="22"/>
                <w:lang w:bidi="ar"/>
              </w:rPr>
              <w:t>质保期：</w:t>
            </w:r>
            <w:r>
              <w:rPr>
                <w:rFonts w:hint="eastAsia" w:ascii="宋体" w:hAnsi="宋体" w:cs="宋体"/>
                <w:sz w:val="22"/>
                <w:szCs w:val="22"/>
              </w:rPr>
              <w:t>经浙江省特种设备科学研究院出具合格检验报告且双方共同验收合格后，质保期开始起计，不少于1年。</w:t>
            </w:r>
          </w:p>
        </w:tc>
      </w:tr>
      <w:tr w14:paraId="1F3DB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8" w:hRule="atLeast"/>
          <w:jc w:val="center"/>
        </w:trPr>
        <w:tc>
          <w:tcPr>
            <w:tcW w:w="1963" w:type="dxa"/>
            <w:vAlign w:val="center"/>
          </w:tcPr>
          <w:p w14:paraId="7E2A31AB">
            <w:pPr>
              <w:tabs>
                <w:tab w:val="left" w:pos="312"/>
              </w:tabs>
              <w:spacing w:line="400" w:lineRule="exact"/>
              <w:jc w:val="center"/>
              <w:rPr>
                <w:rFonts w:ascii="宋体" w:hAnsi="宋体" w:cs="宋体"/>
                <w:kern w:val="0"/>
                <w:szCs w:val="21"/>
              </w:rPr>
            </w:pPr>
            <w:r>
              <w:rPr>
                <w:szCs w:val="21"/>
              </w:rPr>
              <w:t>★</w:t>
            </w:r>
            <w:r>
              <w:rPr>
                <w:rFonts w:hint="eastAsia" w:ascii="宋体" w:hAnsi="宋体" w:cs="宋体"/>
                <w:kern w:val="0"/>
                <w:szCs w:val="21"/>
              </w:rPr>
              <w:t>付款方式</w:t>
            </w:r>
          </w:p>
        </w:tc>
        <w:tc>
          <w:tcPr>
            <w:tcW w:w="6719" w:type="dxa"/>
            <w:vAlign w:val="center"/>
          </w:tcPr>
          <w:p w14:paraId="7D13AD27">
            <w:pPr>
              <w:tabs>
                <w:tab w:val="left" w:pos="312"/>
              </w:tabs>
              <w:spacing w:line="400" w:lineRule="exact"/>
              <w:rPr>
                <w:rFonts w:ascii="宋体" w:hAnsi="宋体" w:cs="宋体"/>
                <w:kern w:val="0"/>
                <w:szCs w:val="21"/>
              </w:rPr>
            </w:pPr>
            <w:r>
              <w:rPr>
                <w:rFonts w:hint="eastAsia" w:ascii="宋体" w:hAnsi="宋体" w:cs="宋体"/>
                <w:kern w:val="0"/>
                <w:szCs w:val="21"/>
              </w:rPr>
              <w:t>1、双方的全部往来结算方式，均凭正式发票或收据通过银行转账方式进行结算，不采取现金结算。</w:t>
            </w:r>
          </w:p>
          <w:p w14:paraId="7940F3EF">
            <w:pPr>
              <w:tabs>
                <w:tab w:val="left" w:pos="312"/>
              </w:tabs>
              <w:spacing w:line="400" w:lineRule="exact"/>
              <w:rPr>
                <w:rFonts w:ascii="宋体" w:hAnsi="宋体" w:cs="宋体"/>
                <w:kern w:val="0"/>
                <w:szCs w:val="21"/>
              </w:rPr>
            </w:pPr>
            <w:r>
              <w:rPr>
                <w:rFonts w:hint="eastAsia" w:ascii="宋体" w:hAnsi="宋体" w:cs="宋体"/>
                <w:kern w:val="0"/>
                <w:szCs w:val="21"/>
              </w:rPr>
              <w:t>2、在合同签订前中标人提供合同金额5%的履约保证金，如中标人在签约前未在规定的时间内提交履约保证金则招标人有权拒签合同。并且要保证履约保证金在合同履行期间的有效性。履约保证金在验收合格后转为质量保证金继续执行，待项目质保期满后，设备正常运行无质量问题，并且招标人收到中标人开具的收据后30个日历天内无息向中标人退还。</w:t>
            </w:r>
          </w:p>
          <w:p w14:paraId="57C57B03">
            <w:pPr>
              <w:tabs>
                <w:tab w:val="left" w:pos="312"/>
              </w:tabs>
              <w:spacing w:line="400" w:lineRule="exact"/>
              <w:rPr>
                <w:rFonts w:ascii="宋体" w:hAnsi="宋体" w:cs="宋体"/>
                <w:kern w:val="0"/>
                <w:szCs w:val="21"/>
              </w:rPr>
            </w:pPr>
            <w:r>
              <w:rPr>
                <w:rFonts w:hint="eastAsia" w:ascii="宋体" w:hAnsi="宋体" w:cs="宋体"/>
                <w:kern w:val="0"/>
                <w:szCs w:val="21"/>
              </w:rPr>
              <w:t>3、经双方共同验收合格后，招标人在收到中标人开具的全额增值税销售专用发票后30个日历日内支付全部合同价款。</w:t>
            </w:r>
          </w:p>
          <w:p w14:paraId="5F660E8C">
            <w:pPr>
              <w:tabs>
                <w:tab w:val="left" w:pos="312"/>
              </w:tabs>
              <w:spacing w:line="400" w:lineRule="exact"/>
              <w:rPr>
                <w:rFonts w:ascii="宋体" w:hAnsi="宋体" w:cs="宋体"/>
                <w:kern w:val="0"/>
                <w:szCs w:val="21"/>
              </w:rPr>
            </w:pPr>
            <w:r>
              <w:rPr>
                <w:rFonts w:hint="eastAsia" w:ascii="宋体" w:hAnsi="宋体" w:cs="宋体"/>
                <w:kern w:val="0"/>
                <w:szCs w:val="21"/>
              </w:rPr>
              <w:t>4、因中标人原因产生的任何违约金、赔偿金等款项，招标人均可在履约保证金或质量保证金中直接扣除。履约保证金或质量保证金被扣收发生后，中标人应在30个日历天内补足，逾期补足的，按每日万分之五支付违约金。</w:t>
            </w:r>
          </w:p>
          <w:p w14:paraId="5B47A977">
            <w:pPr>
              <w:tabs>
                <w:tab w:val="left" w:pos="312"/>
              </w:tabs>
              <w:spacing w:line="400" w:lineRule="exact"/>
              <w:rPr>
                <w:rFonts w:ascii="宋体" w:hAnsi="宋体" w:cs="宋体"/>
                <w:kern w:val="0"/>
                <w:szCs w:val="21"/>
              </w:rPr>
            </w:pPr>
            <w:r>
              <w:rPr>
                <w:rFonts w:hint="eastAsia" w:ascii="宋体" w:hAnsi="宋体" w:cs="宋体"/>
                <w:kern w:val="0"/>
                <w:szCs w:val="21"/>
              </w:rPr>
              <w:t>5、本合同价格含增值税，合同履行期间，如国家调整增值税率，则合同价款按不含税价不变的原则进行调整。</w:t>
            </w:r>
          </w:p>
        </w:tc>
      </w:tr>
      <w:tr w14:paraId="0B4B4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3" w:type="dxa"/>
            <w:vAlign w:val="center"/>
          </w:tcPr>
          <w:p w14:paraId="49A5C8B3">
            <w:pPr>
              <w:tabs>
                <w:tab w:val="left" w:pos="312"/>
              </w:tabs>
              <w:spacing w:line="400" w:lineRule="exact"/>
              <w:jc w:val="center"/>
              <w:rPr>
                <w:rFonts w:ascii="宋体" w:hAnsi="宋体" w:cs="宋体"/>
                <w:kern w:val="0"/>
                <w:szCs w:val="21"/>
              </w:rPr>
            </w:pPr>
            <w:r>
              <w:rPr>
                <w:rFonts w:hint="eastAsia" w:ascii="宋体" w:hAnsi="宋体" w:cs="宋体"/>
                <w:kern w:val="0"/>
                <w:szCs w:val="21"/>
              </w:rPr>
              <w:t>合同签订</w:t>
            </w:r>
          </w:p>
        </w:tc>
        <w:tc>
          <w:tcPr>
            <w:tcW w:w="6719" w:type="dxa"/>
            <w:vAlign w:val="center"/>
          </w:tcPr>
          <w:p w14:paraId="712494E3">
            <w:pPr>
              <w:tabs>
                <w:tab w:val="left" w:pos="312"/>
              </w:tabs>
              <w:spacing w:line="400" w:lineRule="exact"/>
              <w:rPr>
                <w:rFonts w:ascii="宋体" w:hAnsi="宋体" w:cs="宋体"/>
                <w:kern w:val="0"/>
                <w:szCs w:val="21"/>
              </w:rPr>
            </w:pPr>
            <w:r>
              <w:rPr>
                <w:rFonts w:hint="eastAsia" w:ascii="宋体" w:hAnsi="宋体" w:cs="宋体"/>
                <w:kern w:val="0"/>
                <w:szCs w:val="21"/>
              </w:rPr>
              <w:t>本项目最终合同由</w:t>
            </w:r>
            <w:r>
              <w:rPr>
                <w:rFonts w:hint="eastAsia"/>
                <w:szCs w:val="21"/>
              </w:rPr>
              <w:t>温州金洋集装箱码头有限公司</w:t>
            </w:r>
            <w:r>
              <w:rPr>
                <w:rFonts w:hint="eastAsia" w:ascii="宋体" w:hAnsi="宋体" w:cs="宋体"/>
                <w:kern w:val="0"/>
                <w:szCs w:val="21"/>
              </w:rPr>
              <w:t>与中标单位直接签订。</w:t>
            </w:r>
          </w:p>
        </w:tc>
      </w:tr>
    </w:tbl>
    <w:p w14:paraId="5571EE2E">
      <w:pPr>
        <w:spacing w:line="360" w:lineRule="auto"/>
        <w:ind w:firstLine="420" w:firstLineChars="200"/>
        <w:rPr>
          <w:rFonts w:ascii="宋体" w:hAnsi="宋体" w:cs="宋体"/>
          <w:kern w:val="0"/>
          <w:szCs w:val="21"/>
        </w:rPr>
      </w:pPr>
    </w:p>
    <w:p w14:paraId="1DAFDF5E">
      <w:pPr>
        <w:tabs>
          <w:tab w:val="left" w:pos="720"/>
        </w:tabs>
        <w:snapToGrid w:val="0"/>
        <w:spacing w:before="78" w:beforeLines="25" w:after="78" w:afterLines="25" w:line="312" w:lineRule="auto"/>
        <w:outlineLvl w:val="1"/>
        <w:rPr>
          <w:rFonts w:ascii="宋体" w:hAnsi="宋体"/>
          <w:b/>
          <w:szCs w:val="21"/>
        </w:rPr>
      </w:pPr>
      <w:r>
        <w:rPr>
          <w:rFonts w:hint="eastAsia" w:ascii="宋体" w:hAnsi="宋体"/>
          <w:b/>
          <w:szCs w:val="21"/>
        </w:rPr>
        <w:t>三、技术需求</w:t>
      </w:r>
    </w:p>
    <w:p w14:paraId="2FE9A776">
      <w:pPr>
        <w:tabs>
          <w:tab w:val="left" w:pos="720"/>
        </w:tabs>
        <w:snapToGrid w:val="0"/>
        <w:spacing w:before="78" w:beforeLines="25" w:after="78" w:afterLines="25" w:line="312" w:lineRule="auto"/>
        <w:outlineLvl w:val="2"/>
        <w:rPr>
          <w:rFonts w:ascii="宋体" w:hAnsi="宋体"/>
          <w:b/>
          <w:szCs w:val="21"/>
        </w:rPr>
      </w:pPr>
      <w:r>
        <w:rPr>
          <w:rFonts w:hint="eastAsia" w:ascii="宋体" w:hAnsi="宋体"/>
          <w:b/>
          <w:szCs w:val="21"/>
        </w:rPr>
        <w:t>（一）</w:t>
      </w:r>
      <w:r>
        <w:rPr>
          <w:rFonts w:hint="eastAsia" w:ascii="宋体" w:hAnsi="宋体" w:cs="宋体"/>
          <w:b/>
          <w:kern w:val="0"/>
          <w:szCs w:val="21"/>
        </w:rPr>
        <w:t>项目概况</w:t>
      </w:r>
    </w:p>
    <w:p w14:paraId="4D223C44">
      <w:pPr>
        <w:snapToGrid w:val="0"/>
        <w:spacing w:line="400" w:lineRule="exact"/>
        <w:ind w:right="-82" w:firstLine="420" w:firstLineChars="200"/>
      </w:pPr>
      <w:r>
        <w:rPr>
          <w:rFonts w:hint="eastAsia"/>
        </w:rPr>
        <w:t>温州金洋集装箱码头有限公司1#25T叉车投用年限较长（2014年制造），设备原厂配置的发动机采用国 Ⅲ 排放标准，已无法满足现行国家环境保护法律法规及非道路移动机械大气污染物排放管控要求。依据《中华人民共和国大气污染防治法》中非道路移动机械尾气排放的相关管控规定，需对该叉车原有发动机实施升级维修改造，确保其尾气排放指标达到国四排放标准。同时，该叉车长期承担码头散货作业任务，因服役时间久、作业负荷大，内外门架、液压系统等核心部件出现不同程度老化与磨损，设备作业性能及可靠性有所下降。为保障码头散货作业稳定运行，恢复设备完好技术状态，需对相关核心部件进行更换及整机修复处理。</w:t>
      </w:r>
    </w:p>
    <w:p w14:paraId="69271AB9">
      <w:pPr>
        <w:snapToGrid w:val="0"/>
        <w:spacing w:line="400" w:lineRule="exact"/>
        <w:ind w:right="-82" w:firstLine="420" w:firstLineChars="200"/>
      </w:pPr>
      <w:r>
        <w:rPr>
          <w:rFonts w:hint="eastAsia"/>
        </w:rPr>
        <w:t>本次招标范围为1台25T叉车的维修项目，维修内容包括但不限于以下事项：发动机升级更换：将原配康明斯QSB6.7型发动机，更换为符合国家非道路移动机械国四排放标准的合规发动机；门架系统整体更换：对叉车内外门架总成实施整体更换；液压系统检修更换：对液压系统相关零配件进行批量更换，并完成系统调试校验；整机外观修复涂装：完成全车钣金修复与整机油漆涂装作业。</w:t>
      </w:r>
    </w:p>
    <w:p w14:paraId="682A772E">
      <w:pPr>
        <w:snapToGrid w:val="0"/>
        <w:spacing w:line="400" w:lineRule="exact"/>
        <w:ind w:right="-82" w:firstLine="420" w:firstLineChars="200"/>
      </w:pPr>
      <w:r>
        <w:rPr>
          <w:rFonts w:hint="eastAsia"/>
        </w:rPr>
        <w:t>本项目为交钥匙工程，本次报价是包含招标文件规定的完成本项目所需的供货、包装、设备来回运输、仓储、装卸、拆除、安装、</w:t>
      </w:r>
      <w:r>
        <w:rPr>
          <w:rFonts w:hint="eastAsia"/>
          <w:lang w:val="en-US" w:eastAsia="zh-CN"/>
        </w:rPr>
        <w:t>调试、</w:t>
      </w:r>
      <w:r>
        <w:rPr>
          <w:rFonts w:hint="eastAsia" w:ascii="宋体" w:hAnsi="宋体" w:cs="宋体"/>
          <w:sz w:val="22"/>
          <w:szCs w:val="22"/>
        </w:rPr>
        <w:t>浙江省特种设备科学研究院</w:t>
      </w:r>
      <w:r>
        <w:rPr>
          <w:rFonts w:hint="eastAsia" w:ascii="宋体" w:hAnsi="宋体" w:cs="宋体"/>
          <w:sz w:val="22"/>
          <w:szCs w:val="22"/>
          <w:lang w:val="en-US" w:eastAsia="zh-CN"/>
        </w:rPr>
        <w:t>检测费用、</w:t>
      </w:r>
      <w:r>
        <w:rPr>
          <w:rFonts w:hint="eastAsia"/>
        </w:rPr>
        <w:t>验收、售后服务、人工、保险、交通费、13%增值税税金、及涉及的辅材等全部工作的总费用（含平台交易服务费）。实行固定费用总价包干。该维修费用已涵盖履行过程中一切风险（包括但不限于材料、人工价格上涨，发生安全事故造成的损害赔偿）。</w:t>
      </w:r>
    </w:p>
    <w:p w14:paraId="3316E21E">
      <w:pPr>
        <w:tabs>
          <w:tab w:val="left" w:pos="720"/>
        </w:tabs>
        <w:snapToGrid w:val="0"/>
        <w:spacing w:before="78" w:beforeLines="25" w:after="78" w:afterLines="25" w:line="312" w:lineRule="auto"/>
        <w:outlineLvl w:val="2"/>
        <w:rPr>
          <w:rStyle w:val="33"/>
          <w:rFonts w:ascii="宋体" w:hAnsi="宋体"/>
          <w:bCs/>
        </w:rPr>
      </w:pPr>
      <w:r>
        <w:rPr>
          <w:rFonts w:hint="eastAsia" w:ascii="宋体" w:hAnsi="宋体"/>
          <w:b/>
          <w:szCs w:val="21"/>
        </w:rPr>
        <w:t>（二）技术要求</w:t>
      </w:r>
    </w:p>
    <w:p w14:paraId="7454B524">
      <w:pPr>
        <w:snapToGrid w:val="0"/>
        <w:spacing w:line="400" w:lineRule="exact"/>
        <w:ind w:right="-82" w:firstLine="422" w:firstLineChars="200"/>
        <w:rPr>
          <w:b/>
          <w:bCs/>
        </w:rPr>
      </w:pPr>
      <w:r>
        <w:rPr>
          <w:rFonts w:hint="eastAsia"/>
          <w:b/>
          <w:bCs/>
        </w:rPr>
        <w:t>1、</w:t>
      </w:r>
      <w:r>
        <w:rPr>
          <w:rFonts w:hint="eastAsia"/>
          <w:b/>
          <w:bCs/>
          <w:lang w:eastAsia="zh-CN"/>
        </w:rPr>
        <w:t>发动机升级改造</w:t>
      </w:r>
      <w:r>
        <w:rPr>
          <w:rFonts w:hint="eastAsia"/>
          <w:b/>
          <w:bCs/>
        </w:rPr>
        <w:t>要求</w:t>
      </w:r>
    </w:p>
    <w:p w14:paraId="3EFCBA06">
      <w:pPr>
        <w:snapToGrid w:val="0"/>
        <w:spacing w:line="400" w:lineRule="exact"/>
        <w:ind w:right="-82" w:firstLine="420" w:firstLineChars="200"/>
      </w:pPr>
      <w:r>
        <w:rPr>
          <w:rFonts w:hint="eastAsia"/>
        </w:rPr>
        <w:t>★（1）中标人维修改造后的发动机满足原发动机设计功率要求，额定功率大于等于原配发动机功率：净功率164千瓦@2200转/分；转矩949牛米@1500转/分。且发动机效率要求大于等于 36 %并达到国四及以上排放标准（项目维修改造完成后中标人须出具国家环保部门认可的国四排放标准的检测证明）。</w:t>
      </w:r>
    </w:p>
    <w:p w14:paraId="78FA12DD">
      <w:pPr>
        <w:snapToGrid w:val="0"/>
        <w:spacing w:line="400" w:lineRule="exact"/>
        <w:ind w:right="-82" w:firstLine="420" w:firstLineChars="200"/>
      </w:pPr>
      <w:r>
        <w:rPr>
          <w:rFonts w:hint="eastAsia"/>
        </w:rPr>
        <w:t>▲（2）维修改造后的发动机需为知名一线进口品牌发动机（品牌要求康明斯/沃尔沃/道依茨或</w:t>
      </w:r>
      <w:r>
        <w:rPr>
          <w:rFonts w:hint="eastAsia"/>
          <w:lang w:eastAsia="zh-CN"/>
        </w:rPr>
        <w:t>相当于</w:t>
      </w:r>
      <w:r>
        <w:rPr>
          <w:rFonts w:hint="eastAsia"/>
        </w:rPr>
        <w:t>）。</w:t>
      </w:r>
    </w:p>
    <w:p w14:paraId="383B444C">
      <w:pPr>
        <w:snapToGrid w:val="0"/>
        <w:spacing w:line="400" w:lineRule="exact"/>
        <w:ind w:right="-82" w:firstLine="420" w:firstLineChars="200"/>
      </w:pPr>
      <w:r>
        <w:rPr>
          <w:rFonts w:hint="eastAsia"/>
        </w:rPr>
        <w:t>（3）中标人在维修改造过程中要保证</w:t>
      </w:r>
      <w:r>
        <w:rPr>
          <w:rFonts w:hint="eastAsia"/>
          <w:lang w:eastAsia="zh-CN"/>
        </w:rPr>
        <w:t>发动机升级改造</w:t>
      </w:r>
      <w:r>
        <w:rPr>
          <w:rFonts w:hint="eastAsia"/>
        </w:rPr>
        <w:t>后与现有变速箱、车体连接匹配，制作安装必要的支架，原有空调能良好地匹配安装。</w:t>
      </w:r>
    </w:p>
    <w:p w14:paraId="70CD0AED">
      <w:pPr>
        <w:snapToGrid w:val="0"/>
        <w:spacing w:line="400" w:lineRule="exact"/>
        <w:ind w:right="-82" w:firstLine="420" w:firstLineChars="200"/>
      </w:pPr>
      <w:r>
        <w:rPr>
          <w:rFonts w:hint="eastAsia"/>
        </w:rPr>
        <w:t>（4）中标人需设计、制作、安装叉车新发动机水箱、油管、水管、支座以及排烟管等连接附件，拆除原有设备上的发动机及其外围零配件。</w:t>
      </w:r>
    </w:p>
    <w:p w14:paraId="6D989A00">
      <w:pPr>
        <w:snapToGrid w:val="0"/>
        <w:spacing w:line="400" w:lineRule="exact"/>
        <w:ind w:right="-82" w:firstLine="420" w:firstLineChars="200"/>
      </w:pPr>
      <w:r>
        <w:rPr>
          <w:rFonts w:hint="eastAsia"/>
        </w:rPr>
        <w:t>（5）中标人需保证发动机冷却器（主水箱）负责与车体之间可靠的定位安装，与发动机之间的上水管、副水箱水管、波箱冷却器进出水管、增压器的进出气管的可靠连接。</w:t>
      </w:r>
    </w:p>
    <w:p w14:paraId="069D3A52">
      <w:pPr>
        <w:snapToGrid w:val="0"/>
        <w:spacing w:line="400" w:lineRule="exact"/>
        <w:ind w:right="-82" w:firstLine="420" w:firstLineChars="200"/>
      </w:pPr>
      <w:r>
        <w:rPr>
          <w:rFonts w:hint="eastAsia"/>
        </w:rPr>
        <w:t>（6）中标人需根据发动机冷却器（主水箱）尺寸及安装位置，选配提供适合发动机使用的冷却风扇、风扇罩并负责与车体及发动机的可靠联接。</w:t>
      </w:r>
    </w:p>
    <w:p w14:paraId="20D6D249">
      <w:pPr>
        <w:snapToGrid w:val="0"/>
        <w:spacing w:line="400" w:lineRule="exact"/>
        <w:ind w:right="-82" w:firstLine="420" w:firstLineChars="200"/>
      </w:pPr>
      <w:r>
        <w:rPr>
          <w:rFonts w:hint="eastAsia"/>
        </w:rPr>
        <w:t>（7）中标人需提供新的发动机进气冷却器（中冷箱）并负责与车体及发动机冷却器（主水箱）之间可靠的定位安装，与发动机增压器的进出气管的可靠连接。</w:t>
      </w:r>
    </w:p>
    <w:p w14:paraId="559E87A7">
      <w:pPr>
        <w:snapToGrid w:val="0"/>
        <w:spacing w:line="400" w:lineRule="exact"/>
        <w:ind w:right="-82" w:firstLine="420" w:firstLineChars="200"/>
      </w:pPr>
      <w:r>
        <w:rPr>
          <w:rFonts w:hint="eastAsia"/>
        </w:rPr>
        <w:t>（8）中标人负责发动机启动马达与叉车蓄电池、控制电箱之间联接电路、接头、电缆线路的设计、提供、布置和安装。</w:t>
      </w:r>
    </w:p>
    <w:p w14:paraId="17F7AA3C">
      <w:pPr>
        <w:snapToGrid w:val="0"/>
        <w:spacing w:line="400" w:lineRule="exact"/>
        <w:ind w:right="-82" w:firstLine="420" w:firstLineChars="200"/>
      </w:pPr>
      <w:r>
        <w:rPr>
          <w:rFonts w:hint="eastAsia"/>
        </w:rPr>
        <w:t>（9）中标人对发动机进行测试，保障发动机与变速箱能正常匹配，满足各种工况工作要求，测试完成后提供新发动机和旧发动机载荷曲线图。</w:t>
      </w:r>
    </w:p>
    <w:p w14:paraId="240A816C">
      <w:pPr>
        <w:snapToGrid w:val="0"/>
        <w:spacing w:line="400" w:lineRule="exact"/>
        <w:ind w:right="-82" w:firstLine="420" w:firstLineChars="200"/>
      </w:pPr>
      <w:r>
        <w:rPr>
          <w:rFonts w:hint="eastAsia"/>
        </w:rPr>
        <w:t>（10）所有更新电气设备的控制器、电气元器件，在发动机等安装调试后，能正常使用达到原车标准。</w:t>
      </w:r>
    </w:p>
    <w:p w14:paraId="54B7E486">
      <w:pPr>
        <w:snapToGrid w:val="0"/>
        <w:spacing w:line="400" w:lineRule="exact"/>
        <w:ind w:right="-82" w:firstLine="420" w:firstLineChars="200"/>
      </w:pPr>
      <w:r>
        <w:rPr>
          <w:rFonts w:hint="eastAsia"/>
        </w:rPr>
        <w:t>（11）中标人应按照签订合同约定日期前完成</w:t>
      </w:r>
      <w:r>
        <w:rPr>
          <w:rFonts w:hint="eastAsia"/>
          <w:lang w:eastAsia="zh-CN"/>
        </w:rPr>
        <w:t>发动机升级改造</w:t>
      </w:r>
      <w:r>
        <w:rPr>
          <w:rFonts w:hint="eastAsia"/>
        </w:rPr>
        <w:t>工作，并在招标人技术人员参加情况下，完成发动机改造规范所规定的各项检测。直到叉车可正常使用并恢复原作业功能后，由招标人出具《</w:t>
      </w:r>
      <w:r>
        <w:rPr>
          <w:rFonts w:hint="eastAsia"/>
          <w:lang w:eastAsia="zh-CN"/>
        </w:rPr>
        <w:t>发动机升级改造</w:t>
      </w:r>
      <w:r>
        <w:rPr>
          <w:rFonts w:hint="eastAsia"/>
        </w:rPr>
        <w:t>项目验收单》。</w:t>
      </w:r>
    </w:p>
    <w:p w14:paraId="2A31ACA2">
      <w:pPr>
        <w:snapToGrid w:val="0"/>
        <w:spacing w:line="400" w:lineRule="exact"/>
        <w:ind w:right="-82" w:firstLine="422" w:firstLineChars="200"/>
        <w:rPr>
          <w:b/>
          <w:bCs/>
        </w:rPr>
      </w:pPr>
      <w:r>
        <w:rPr>
          <w:rFonts w:hint="eastAsia"/>
          <w:b/>
          <w:bCs/>
        </w:rPr>
        <w:t>2、内外门架总成更换技术要求</w:t>
      </w:r>
    </w:p>
    <w:p w14:paraId="47666A41">
      <w:pPr>
        <w:snapToGrid w:val="0"/>
        <w:spacing w:line="400" w:lineRule="exact"/>
        <w:ind w:right="-82" w:firstLine="420" w:firstLineChars="200"/>
        <w:rPr>
          <w:rFonts w:hint="eastAsia"/>
        </w:rPr>
      </w:pPr>
      <w:r>
        <w:rPr>
          <w:rFonts w:hint="eastAsia"/>
        </w:rPr>
        <w:t>（1）当叉车在招标人场地来回装卸时，招标人为中标人装卸提供方便。</w:t>
      </w:r>
    </w:p>
    <w:p w14:paraId="5DD4DC69">
      <w:pPr>
        <w:snapToGrid w:val="0"/>
        <w:spacing w:line="400" w:lineRule="exact"/>
        <w:ind w:right="-82" w:firstLine="420" w:firstLineChars="200"/>
      </w:pPr>
      <w:r>
        <w:rPr>
          <w:rFonts w:hint="eastAsia"/>
        </w:rPr>
        <w:t>（2）由中标人负责将该内外门架从叉车上拆下，拆下后，双方应对门架外观进行检查，确认门架的型号、总成号、系列号，如有情况中标人需整理出检查报告单对存在的主要问题及外观检查情况进行标注并签字。另外，中标人应保管好拆卸门架时从叉车上拆下的其他零部件。因内外门架总成拆卸及安装过程中，发现或产生的需要更换的与内外门架总成有关的所有零配件，均由中标人负责提供合格产品并安装调试到位。</w:t>
      </w:r>
    </w:p>
    <w:p w14:paraId="5DD0D31C">
      <w:pPr>
        <w:snapToGrid w:val="0"/>
        <w:spacing w:line="400" w:lineRule="exact"/>
        <w:ind w:right="-82" w:firstLine="420" w:firstLineChars="200"/>
      </w:pPr>
      <w:r>
        <w:rPr>
          <w:rFonts w:hint="eastAsia"/>
        </w:rPr>
        <w:t>（3）中标人在拟好内外门架总成清单后，应及时发给招标人，经招标人确认后才可对内外门架总成进行更换。</w:t>
      </w:r>
    </w:p>
    <w:p w14:paraId="1CD91619">
      <w:pPr>
        <w:snapToGrid w:val="0"/>
        <w:spacing w:line="400" w:lineRule="exact"/>
        <w:ind w:right="-82" w:firstLine="420" w:firstLineChars="200"/>
      </w:pPr>
      <w:r>
        <w:rPr>
          <w:rFonts w:hint="eastAsia"/>
        </w:rPr>
        <w:t>（4）内外门架总成均由中标人提供，中标人应保证内外门架总成均为门架原厂产品。需提供原厂证明以及门架为合同签订之日前1年内生产日期证明。</w:t>
      </w:r>
    </w:p>
    <w:p w14:paraId="738891AA">
      <w:pPr>
        <w:snapToGrid w:val="0"/>
        <w:spacing w:line="400" w:lineRule="exact"/>
        <w:ind w:right="-82" w:firstLine="420" w:firstLineChars="200"/>
      </w:pPr>
      <w:r>
        <w:rPr>
          <w:rFonts w:hint="eastAsia"/>
        </w:rPr>
        <w:t>（5）中标人应按照签订合同约定日期前完成内外门架总成的更换和调试工作，并在招标人技术人员参加情况下，完成门架更换规范所规定的各项检测。直到叉车可正常使用并恢复原作业功能后，由招标人出具《内外门架总成更换项目验收单》。</w:t>
      </w:r>
    </w:p>
    <w:p w14:paraId="360B678B">
      <w:pPr>
        <w:snapToGrid w:val="0"/>
        <w:spacing w:line="400" w:lineRule="exact"/>
        <w:ind w:right="-82" w:firstLine="422" w:firstLineChars="200"/>
        <w:rPr>
          <w:b/>
          <w:bCs/>
        </w:rPr>
      </w:pPr>
      <w:r>
        <w:rPr>
          <w:rFonts w:hint="eastAsia"/>
          <w:b/>
          <w:bCs/>
        </w:rPr>
        <w:t>3、液压系统一批零配件更换技术要求</w:t>
      </w:r>
    </w:p>
    <w:p w14:paraId="46016787">
      <w:pPr>
        <w:snapToGrid w:val="0"/>
        <w:spacing w:line="400" w:lineRule="exact"/>
        <w:ind w:right="-82" w:firstLine="420" w:firstLineChars="200"/>
      </w:pPr>
      <w:r>
        <w:rPr>
          <w:rFonts w:hint="eastAsia"/>
        </w:rPr>
        <w:t>（1）更换全车液压油管，油管型号必须与原车一致；油管品牌为Parker（进口件）、Danfoss（进口件）</w:t>
      </w:r>
      <w:r>
        <w:rPr>
          <w:rFonts w:hint="eastAsia"/>
          <w:lang w:eastAsia="zh-CN"/>
        </w:rPr>
        <w:t>、</w:t>
      </w:r>
      <w:r>
        <w:rPr>
          <w:rFonts w:hint="eastAsia"/>
        </w:rPr>
        <w:t>Gates（进口件）或相当于（项目完工验收前，中标人需提供原产地产品合格证，以及品牌厂家供应商授权书）。</w:t>
      </w:r>
    </w:p>
    <w:p w14:paraId="403BDC21">
      <w:pPr>
        <w:snapToGrid w:val="0"/>
        <w:spacing w:line="400" w:lineRule="exact"/>
        <w:ind w:right="-82" w:firstLine="420" w:firstLineChars="200"/>
      </w:pPr>
      <w:r>
        <w:rPr>
          <w:rFonts w:hint="eastAsia"/>
        </w:rPr>
        <w:t>（2）更换及新增油管的布设走向应最大限度沿用原车设计路径与安装工艺；如确需调整原车油管走向，中标人须提前提交书面调整方案，经招标人书面审批同意后方可实施。因油管走向调整所引发的设备故障、运行异常及由此产生的全部经济损失与安全责任，均由中标人承担，招标人不承担任何责任。</w:t>
      </w:r>
    </w:p>
    <w:p w14:paraId="682973FF">
      <w:pPr>
        <w:snapToGrid w:val="0"/>
        <w:spacing w:line="400" w:lineRule="exact"/>
        <w:ind w:right="-82" w:firstLine="420" w:firstLineChars="200"/>
      </w:pPr>
      <w:r>
        <w:rPr>
          <w:rFonts w:hint="eastAsia"/>
        </w:rPr>
        <w:t>（3）原有的油管管夹需全部换新，且新管夹的型号必须与新换油管的管径相匹配。</w:t>
      </w:r>
    </w:p>
    <w:p w14:paraId="2288A413">
      <w:pPr>
        <w:snapToGrid w:val="0"/>
        <w:spacing w:line="400" w:lineRule="exact"/>
        <w:ind w:right="-82" w:firstLine="420" w:firstLineChars="200"/>
      </w:pPr>
      <w:r>
        <w:rPr>
          <w:rFonts w:hint="eastAsia"/>
        </w:rPr>
        <w:t>（4）所有油管的固定及绑扎必须到位，防止油管与其他部件或油管之间发生摩擦；如与其他部件锐边有无法避免的干涉，需将干涉位置包扎后固定到位。</w:t>
      </w:r>
    </w:p>
    <w:p w14:paraId="0C32BC43">
      <w:pPr>
        <w:snapToGrid w:val="0"/>
        <w:spacing w:line="400" w:lineRule="exact"/>
        <w:ind w:right="-82" w:firstLine="420" w:firstLineChars="200"/>
      </w:pPr>
      <w:r>
        <w:rPr>
          <w:rFonts w:hint="eastAsia"/>
        </w:rPr>
        <w:t>（5）更换油管后需保证各新油管的转接头均紧固到位，且不存在漏油。</w:t>
      </w:r>
    </w:p>
    <w:p w14:paraId="1471EE29">
      <w:pPr>
        <w:snapToGrid w:val="0"/>
        <w:spacing w:line="400" w:lineRule="exact"/>
        <w:ind w:right="-82" w:firstLine="420" w:firstLineChars="200"/>
      </w:pPr>
      <w:r>
        <w:rPr>
          <w:rFonts w:hint="eastAsia"/>
        </w:rPr>
        <w:t>（6）中标人应按照签订合同约定日期前完成液压系统一批零配件更换工作，并在招标人技术人员参加情况下，完成液压系零配件更换规范所规定的各项检测。直到叉车可正常使用并恢复原作业功能后，由招标人出具《液压系统一批零配件更换项目验收单》。</w:t>
      </w:r>
    </w:p>
    <w:p w14:paraId="01188A2C">
      <w:pPr>
        <w:snapToGrid w:val="0"/>
        <w:spacing w:line="400" w:lineRule="exact"/>
        <w:ind w:right="-82" w:firstLine="422" w:firstLineChars="200"/>
        <w:rPr>
          <w:b/>
          <w:bCs/>
        </w:rPr>
      </w:pPr>
      <w:r>
        <w:rPr>
          <w:rFonts w:hint="eastAsia"/>
          <w:b/>
          <w:bCs/>
        </w:rPr>
        <w:t>4、全车钣金油漆的技术要求</w:t>
      </w:r>
    </w:p>
    <w:p w14:paraId="00A7860D">
      <w:pPr>
        <w:snapToGrid w:val="0"/>
        <w:spacing w:line="400" w:lineRule="exact"/>
        <w:ind w:right="-82" w:firstLine="420" w:firstLineChars="200"/>
      </w:pPr>
      <w:r>
        <w:rPr>
          <w:rFonts w:hint="eastAsia"/>
        </w:rPr>
        <w:t>（1）底漆和面漆要求使用知名品牌，推荐：Hampel(海虹老人)、Jotun(佐敦)、ZPMC(振华)或相当于。</w:t>
      </w:r>
    </w:p>
    <w:p w14:paraId="084870C4">
      <w:pPr>
        <w:snapToGrid w:val="0"/>
        <w:spacing w:line="400" w:lineRule="exact"/>
        <w:ind w:right="-82" w:firstLine="420" w:firstLineChars="200"/>
      </w:pPr>
      <w:r>
        <w:rPr>
          <w:rFonts w:hint="eastAsia"/>
        </w:rPr>
        <w:t>（2）钣金修复：恢复车身原有的金属刚性与线条流畅性。</w:t>
      </w:r>
    </w:p>
    <w:p w14:paraId="4BC4F7CA">
      <w:pPr>
        <w:snapToGrid w:val="0"/>
        <w:spacing w:line="400" w:lineRule="exact"/>
        <w:ind w:right="-82" w:firstLine="420" w:firstLineChars="200"/>
      </w:pPr>
      <w:r>
        <w:rPr>
          <w:rFonts w:hint="eastAsia"/>
        </w:rPr>
        <w:t>（3）特殊材质处理：对于铝合金等特殊材质部件，必须采用低温作业（温度小于80摄氏度），严禁高温烘烤，以免金属结构变形导致后期漆面鼓包。</w:t>
      </w:r>
    </w:p>
    <w:p w14:paraId="2DB6F0F5">
      <w:pPr>
        <w:snapToGrid w:val="0"/>
        <w:spacing w:line="400" w:lineRule="exact"/>
        <w:ind w:right="-82" w:firstLine="420" w:firstLineChars="200"/>
      </w:pPr>
      <w:r>
        <w:rPr>
          <w:rFonts w:hint="eastAsia"/>
        </w:rPr>
        <w:t>（4）薄面多次刮灰：原子灰必须遵循（薄涂多层）原则，每层厚度部超过2mm，总厚度不宜超过1张A4纸的厚度。边缘处需做30度斜坡过渡，确保新旧漆面衔接自然，避免后期翘边。</w:t>
      </w:r>
    </w:p>
    <w:p w14:paraId="6C86408B">
      <w:pPr>
        <w:snapToGrid w:val="0"/>
        <w:spacing w:line="400" w:lineRule="exact"/>
        <w:ind w:right="-82" w:firstLine="420" w:firstLineChars="200"/>
      </w:pPr>
      <w:r>
        <w:rPr>
          <w:rFonts w:hint="eastAsia"/>
        </w:rPr>
        <w:t>（5）精细打磨：干燥后需依次使用80目、120目、240目至400目砂纸进行打磨，最终表面平整度误差需控制在0.05mm-0.1mm以内，达到接近原厂的模具级标准。</w:t>
      </w:r>
    </w:p>
    <w:p w14:paraId="3AC75102">
      <w:pPr>
        <w:snapToGrid w:val="0"/>
        <w:spacing w:line="400" w:lineRule="exact"/>
        <w:ind w:right="-82" w:firstLine="420" w:firstLineChars="200"/>
      </w:pPr>
      <w:r>
        <w:rPr>
          <w:rFonts w:hint="eastAsia"/>
        </w:rPr>
        <w:t>（6）喷涂施工：无尘环境控制，必须在配备空气净化系统的无尘车间进行，环境温度需保持在20-25摄氏度，湿度控制在60摄氏度左右，以防止漆面产生气泡，白点或颗粒。</w:t>
      </w:r>
    </w:p>
    <w:p w14:paraId="55E65CB0">
      <w:pPr>
        <w:snapToGrid w:val="0"/>
        <w:spacing w:line="400" w:lineRule="exact"/>
        <w:ind w:right="-82" w:firstLine="420" w:firstLineChars="200"/>
      </w:pPr>
      <w:r>
        <w:rPr>
          <w:rFonts w:hint="eastAsia"/>
        </w:rPr>
        <w:t>（7）分层喷涂标准：</w:t>
      </w:r>
    </w:p>
    <w:p w14:paraId="5375A597">
      <w:pPr>
        <w:snapToGrid w:val="0"/>
        <w:spacing w:line="400" w:lineRule="exact"/>
        <w:ind w:right="-82" w:firstLine="420" w:firstLineChars="200"/>
      </w:pPr>
      <w:r>
        <w:rPr>
          <w:rFonts w:hint="eastAsia"/>
        </w:rPr>
        <w:t>底漆层：先喷涂环氧底漆增强防锈，再喷涂中涂底漆填充瑕疵。</w:t>
      </w:r>
    </w:p>
    <w:p w14:paraId="30BF9251">
      <w:pPr>
        <w:snapToGrid w:val="0"/>
        <w:spacing w:line="400" w:lineRule="exact"/>
        <w:ind w:right="-82" w:firstLine="420" w:firstLineChars="200"/>
      </w:pPr>
      <w:r>
        <w:rPr>
          <w:rFonts w:hint="eastAsia"/>
        </w:rPr>
        <w:t>色漆层：根据原厂色号精确调配，金属漆喷涂时喷枪需保持45°角，确保金属颗粒均匀分布。</w:t>
      </w:r>
    </w:p>
    <w:p w14:paraId="1CDCD084">
      <w:pPr>
        <w:snapToGrid w:val="0"/>
        <w:spacing w:line="400" w:lineRule="exact"/>
        <w:ind w:right="-82" w:firstLine="420" w:firstLineChars="200"/>
      </w:pPr>
      <w:r>
        <w:rPr>
          <w:rFonts w:hint="eastAsia"/>
        </w:rPr>
        <w:t>清漆层：通常喷涂2-3层，总厚度需精准控制在30-70μm之间。</w:t>
      </w:r>
    </w:p>
    <w:p w14:paraId="78B21C65">
      <w:pPr>
        <w:snapToGrid w:val="0"/>
        <w:spacing w:line="400" w:lineRule="exact"/>
        <w:ind w:right="-82" w:firstLine="420" w:firstLineChars="200"/>
      </w:pPr>
      <w:r>
        <w:rPr>
          <w:rFonts w:hint="eastAsia"/>
        </w:rPr>
        <w:t>（8）漆面验收标准：</w:t>
      </w:r>
    </w:p>
    <w:p w14:paraId="3C304C04">
      <w:pPr>
        <w:snapToGrid w:val="0"/>
        <w:spacing w:line="400" w:lineRule="exact"/>
        <w:ind w:right="-82" w:firstLine="420" w:firstLineChars="200"/>
      </w:pPr>
      <w:r>
        <w:rPr>
          <w:rFonts w:hint="eastAsia"/>
        </w:rPr>
        <w:t>漆膜厚度：漆层总厚度通常应控制在30-70μm之间。</w:t>
      </w:r>
    </w:p>
    <w:p w14:paraId="0C287345">
      <w:pPr>
        <w:snapToGrid w:val="0"/>
        <w:spacing w:line="400" w:lineRule="exact"/>
        <w:ind w:right="-82" w:firstLine="420" w:firstLineChars="200"/>
      </w:pPr>
      <w:r>
        <w:rPr>
          <w:rFonts w:hint="eastAsia"/>
        </w:rPr>
        <w:t>硬度测试：漆膜硬度需达到≥2H铅笔硬度。</w:t>
      </w:r>
    </w:p>
    <w:p w14:paraId="12369DD8">
      <w:pPr>
        <w:snapToGrid w:val="0"/>
        <w:spacing w:line="400" w:lineRule="exact"/>
        <w:ind w:right="-82" w:firstLine="420" w:firstLineChars="200"/>
      </w:pPr>
      <w:r>
        <w:rPr>
          <w:rFonts w:hint="eastAsia"/>
        </w:rPr>
        <w:t>色差与光泽度：色差（ΔE值）需≤1.5（高要求）至≤2（一般工业件可接受），光泽度需≥90GU，确保与原厂漆面高度一致。</w:t>
      </w:r>
    </w:p>
    <w:p w14:paraId="1AC803DC">
      <w:pPr>
        <w:snapToGrid w:val="0"/>
        <w:spacing w:line="400" w:lineRule="exact"/>
        <w:ind w:right="-82" w:firstLine="420" w:firstLineChars="200"/>
      </w:pPr>
      <w:r>
        <w:rPr>
          <w:rFonts w:hint="eastAsia"/>
        </w:rPr>
        <w:t>外观检查：在特定光源下目测，漆面需色泽一致，无流挂、橘皮、缩孔、颗粒及露底等缺陷。</w:t>
      </w:r>
    </w:p>
    <w:p w14:paraId="19851FFB">
      <w:pPr>
        <w:snapToGrid w:val="0"/>
        <w:spacing w:line="400" w:lineRule="exact"/>
        <w:ind w:right="-82" w:firstLine="420" w:firstLineChars="200"/>
      </w:pPr>
      <w:r>
        <w:rPr>
          <w:rFonts w:hint="eastAsia"/>
        </w:rPr>
        <w:t>（9）中标人应按照签订合同约定日期前完成全车钣金油漆工作，并在招标人技术人员参加情况下，完成全车钣金油漆规范所规定的验收工作。直到叉车可正常使用并恢复原作业功能后，由招标人出具《全车钣金油漆项目验收单》。</w:t>
      </w:r>
    </w:p>
    <w:p w14:paraId="1CB43985">
      <w:pPr>
        <w:snapToGrid w:val="0"/>
        <w:spacing w:line="400" w:lineRule="exact"/>
        <w:ind w:right="-82" w:firstLine="422" w:firstLineChars="200"/>
        <w:rPr>
          <w:b/>
          <w:bCs/>
        </w:rPr>
      </w:pPr>
      <w:r>
        <w:rPr>
          <w:rFonts w:hint="eastAsia"/>
          <w:b/>
          <w:bCs/>
        </w:rPr>
        <w:t>5、其他要求</w:t>
      </w:r>
    </w:p>
    <w:p w14:paraId="250E431D">
      <w:pPr>
        <w:snapToGrid w:val="0"/>
        <w:spacing w:line="400" w:lineRule="exact"/>
        <w:ind w:right="-82" w:firstLine="420" w:firstLineChars="200"/>
      </w:pPr>
      <w:r>
        <w:rPr>
          <w:rFonts w:hint="eastAsia"/>
        </w:rPr>
        <w:t>（1）在上述项目维修更新改造施工过程中中标人应严格遵循操作规范，且在更新全过程中应当接受招标人必要的监督检验。</w:t>
      </w:r>
    </w:p>
    <w:p w14:paraId="1556BB3C">
      <w:pPr>
        <w:snapToGrid w:val="0"/>
        <w:spacing w:line="400" w:lineRule="exact"/>
        <w:ind w:right="-82" w:firstLine="420" w:firstLineChars="200"/>
      </w:pPr>
      <w:r>
        <w:rPr>
          <w:rFonts w:hint="eastAsia"/>
        </w:rPr>
        <w:t>（2）维修更新改造工程实施前，由招标人与中标人双方共同对待维修改造叉车开展联合查验工作，核实确认设备规格型号、出厂序列号，全面检查设备外观状态及零部件完好情况，排查是否存在意外损伤、功能异常或零部件缺失等问题。</w:t>
      </w:r>
    </w:p>
    <w:p w14:paraId="305002AF">
      <w:pPr>
        <w:snapToGrid w:val="0"/>
        <w:spacing w:line="400" w:lineRule="exact"/>
        <w:ind w:right="-82" w:firstLine="420" w:firstLineChars="200"/>
      </w:pPr>
      <w:r>
        <w:rPr>
          <w:rFonts w:hint="eastAsia"/>
        </w:rPr>
        <w:t>若查验发现设备存在异常情形，中标人须如实编制《叉车维修更新改造施工前查验报告单》，对维修改造前设备存在的主要问题、外观缺陷等逐项标注列明，经双方签字确认后，作为招标人向中标人移交待维修改造设备的现状确认依据</w:t>
      </w:r>
      <w:r>
        <w:rPr>
          <w:rFonts w:hint="eastAsia"/>
          <w:lang w:eastAsia="zh-CN"/>
        </w:rPr>
        <w:t>（</w:t>
      </w:r>
      <w:r>
        <w:rPr>
          <w:rFonts w:hint="eastAsia"/>
          <w:lang w:val="en-US" w:eastAsia="zh-CN"/>
        </w:rPr>
        <w:t>若设备存在的异常情况不属于本项目维修改造的范围，由招标人负责后续维修安排</w:t>
      </w:r>
      <w:r>
        <w:rPr>
          <w:rFonts w:hint="eastAsia"/>
          <w:lang w:eastAsia="zh-CN"/>
        </w:rPr>
        <w:t>）</w:t>
      </w:r>
      <w:r>
        <w:rPr>
          <w:rFonts w:hint="eastAsia"/>
        </w:rPr>
        <w:t>。</w:t>
      </w:r>
    </w:p>
    <w:p w14:paraId="4461A193">
      <w:pPr>
        <w:snapToGrid w:val="0"/>
        <w:spacing w:line="400" w:lineRule="exact"/>
        <w:ind w:right="-82" w:firstLine="420" w:firstLineChars="200"/>
      </w:pPr>
      <w:r>
        <w:rPr>
          <w:rFonts w:hint="eastAsia"/>
        </w:rPr>
        <w:t>若施工前未完成上述联合查验及签字确认手续，即视为中标人已认可待维修改造设备的外观、全部附属部件及各项功能均处于完好状态，中标人后续不得就设备移交前的原有状况提出任何异议。</w:t>
      </w:r>
    </w:p>
    <w:p w14:paraId="15FDD01A">
      <w:pPr>
        <w:snapToGrid w:val="0"/>
        <w:spacing w:line="400" w:lineRule="exact"/>
        <w:ind w:right="-82" w:firstLine="420" w:firstLineChars="200"/>
      </w:pPr>
      <w:r>
        <w:rPr>
          <w:rFonts w:hint="eastAsia"/>
        </w:rPr>
        <w:t>（3）维修、改造、调试和各项检测工作完成后，中标人应做好试车验收准备，并通知招标人与招标人技术人员进行现场试车验收（施工完成后，中标人必须将设备换下的所有零部件归还给招标人）。</w:t>
      </w:r>
    </w:p>
    <w:p w14:paraId="3B98F3EB">
      <w:pPr>
        <w:snapToGrid w:val="0"/>
        <w:spacing w:line="400" w:lineRule="exact"/>
        <w:ind w:right="-82" w:firstLine="420" w:firstLineChars="200"/>
      </w:pPr>
      <w:r>
        <w:rPr>
          <w:rFonts w:hint="eastAsia"/>
        </w:rPr>
        <w:t>（4）中标人应按合同约定时间要求，严格按相关行业标准或规范进行维修改造更换。</w:t>
      </w:r>
    </w:p>
    <w:p w14:paraId="1F4A5D3A">
      <w:pPr>
        <w:snapToGrid w:val="0"/>
        <w:spacing w:line="400" w:lineRule="exact"/>
        <w:ind w:right="-82" w:firstLine="420" w:firstLineChars="200"/>
      </w:pPr>
      <w:r>
        <w:rPr>
          <w:rFonts w:hint="eastAsia"/>
        </w:rPr>
        <w:t>★（5）所有项目维修改造更换完成后，由中标人负责完成该设备的浙江省特种设备科学研究院检验。</w:t>
      </w:r>
    </w:p>
    <w:p w14:paraId="3C4EFA5A">
      <w:pPr>
        <w:snapToGrid w:val="0"/>
        <w:spacing w:line="400" w:lineRule="exact"/>
        <w:ind w:right="-82" w:firstLine="420" w:firstLineChars="200"/>
      </w:pPr>
      <w:r>
        <w:rPr>
          <w:rFonts w:hint="eastAsia"/>
        </w:rPr>
        <w:t>（6）发动机试车验收合格后，中标人应随设备提供升级方案的发动机《产品合格证书》以及相对应的维护手册和零件手册。</w:t>
      </w:r>
    </w:p>
    <w:p w14:paraId="52ABF790">
      <w:pPr>
        <w:snapToGrid w:val="0"/>
        <w:spacing w:line="400" w:lineRule="exact"/>
        <w:ind w:right="-82" w:firstLine="420" w:firstLineChars="200"/>
      </w:pPr>
      <w:r>
        <w:rPr>
          <w:rFonts w:hint="eastAsia"/>
        </w:rPr>
        <w:t>（7）中标人需保障后期技术支持和零配件供应。</w:t>
      </w:r>
    </w:p>
    <w:p w14:paraId="29F250AD">
      <w:pPr>
        <w:snapToGrid w:val="0"/>
        <w:spacing w:line="400" w:lineRule="exact"/>
        <w:ind w:right="-82" w:firstLine="420" w:firstLineChars="200"/>
      </w:pPr>
      <w:r>
        <w:rPr>
          <w:rFonts w:hint="eastAsia"/>
        </w:rPr>
        <w:t>（8）质保期内，中标人承诺在接到招标人维修通知的 12 小时内做出响应，24小时内进场维修（若为油管更换后出现由于安装问题引起的故障，需在接到招标人通知后24小时内处理完毕），并在最短时间处理好故障，不得推卸。中标人需承诺发生零部件或维修质量问题时，中标人必须遵循国家标准或行业标准进行修复；如遇发动机故障，中标人必须遵循发动机大修规范进行修复。</w:t>
      </w:r>
    </w:p>
    <w:p w14:paraId="150531C0">
      <w:pPr>
        <w:snapToGrid w:val="0"/>
        <w:spacing w:line="400" w:lineRule="exact"/>
        <w:ind w:right="-82" w:firstLine="420" w:firstLineChars="200"/>
      </w:pPr>
      <w:r>
        <w:rPr>
          <w:rFonts w:hint="eastAsia"/>
        </w:rPr>
        <w:t>（9）质保期内，保修范围包括 100％ 劳务及因中标人所提供零部件质量问题和因修理不当而引起的故障和损坏，由此产生的所有直接损失，均有中标人承担。</w:t>
      </w:r>
    </w:p>
    <w:p w14:paraId="2B489EC9">
      <w:pPr>
        <w:snapToGrid w:val="0"/>
        <w:spacing w:line="400" w:lineRule="exact"/>
        <w:ind w:right="-82" w:firstLine="420" w:firstLineChars="200"/>
      </w:pPr>
      <w:r>
        <w:rPr>
          <w:rFonts w:hint="eastAsia"/>
        </w:rPr>
        <w:t>（10）出质保期后，中标人承诺对因招标人原因引起的门架故障在24小时内做出响应，并提供必要的有偿服务。</w:t>
      </w:r>
    </w:p>
    <w:p w14:paraId="785C87FF">
      <w:pPr>
        <w:snapToGrid w:val="0"/>
        <w:spacing w:line="400" w:lineRule="exact"/>
        <w:ind w:right="-82" w:firstLine="420" w:firstLineChars="200"/>
      </w:pPr>
      <w:r>
        <w:rPr>
          <w:rFonts w:hint="eastAsia"/>
        </w:rPr>
        <w:t>（11）质保期内，中标人应遵守招标人相关规章制度，严禁违章作业，招标人有权对违章行为进行考核。</w:t>
      </w:r>
    </w:p>
    <w:p w14:paraId="09500798">
      <w:pPr>
        <w:snapToGrid w:val="0"/>
        <w:spacing w:line="400" w:lineRule="exact"/>
        <w:ind w:right="-82" w:firstLine="420" w:firstLineChars="200"/>
        <w:rPr>
          <w:rFonts w:hint="eastAsia"/>
          <w:b/>
          <w:bCs/>
        </w:rPr>
      </w:pPr>
      <w:r>
        <w:rPr>
          <w:rFonts w:hint="eastAsia"/>
        </w:rPr>
        <w:t>（12）合同有效期内因中标人责任造成的一切事故，均由中标人负责。</w:t>
      </w:r>
    </w:p>
    <w:p w14:paraId="6B3D2011">
      <w:pPr>
        <w:tabs>
          <w:tab w:val="left" w:pos="720"/>
        </w:tabs>
        <w:snapToGrid w:val="0"/>
        <w:spacing w:before="156" w:beforeLines="50" w:line="360" w:lineRule="auto"/>
        <w:outlineLvl w:val="2"/>
        <w:rPr>
          <w:rFonts w:ascii="宋体" w:hAnsi="宋体"/>
          <w:b/>
          <w:szCs w:val="21"/>
        </w:rPr>
      </w:pPr>
      <w:r>
        <w:rPr>
          <w:rFonts w:hint="eastAsia" w:ascii="宋体" w:hAnsi="宋体"/>
          <w:b/>
          <w:szCs w:val="21"/>
        </w:rPr>
        <w:t>（三）维修清单</w:t>
      </w:r>
    </w:p>
    <w:tbl>
      <w:tblPr>
        <w:tblStyle w:val="28"/>
        <w:tblW w:w="8159" w:type="dxa"/>
        <w:jc w:val="center"/>
        <w:tblLayout w:type="fixed"/>
        <w:tblCellMar>
          <w:top w:w="0" w:type="dxa"/>
          <w:left w:w="0" w:type="dxa"/>
          <w:bottom w:w="0" w:type="dxa"/>
          <w:right w:w="0" w:type="dxa"/>
        </w:tblCellMar>
      </w:tblPr>
      <w:tblGrid>
        <w:gridCol w:w="562"/>
        <w:gridCol w:w="1504"/>
        <w:gridCol w:w="5193"/>
        <w:gridCol w:w="900"/>
      </w:tblGrid>
      <w:tr w14:paraId="694A5499">
        <w:tblPrEx>
          <w:tblCellMar>
            <w:top w:w="0" w:type="dxa"/>
            <w:left w:w="0" w:type="dxa"/>
            <w:bottom w:w="0" w:type="dxa"/>
            <w:right w:w="0" w:type="dxa"/>
          </w:tblCellMar>
        </w:tblPrEx>
        <w:trPr>
          <w:trHeight w:val="454" w:hRule="atLeast"/>
          <w:jc w:val="center"/>
        </w:trPr>
        <w:tc>
          <w:tcPr>
            <w:tcW w:w="8159" w:type="dxa"/>
            <w:gridSpan w:val="4"/>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3694C05E">
            <w:pPr>
              <w:jc w:val="center"/>
              <w:rPr>
                <w:rFonts w:ascii="宋体" w:hAnsi="宋体" w:cs="宋体"/>
                <w:b/>
                <w:bCs/>
                <w:color w:val="000000"/>
                <w:kern w:val="0"/>
                <w:szCs w:val="21"/>
              </w:rPr>
            </w:pPr>
            <w:r>
              <w:rPr>
                <w:rFonts w:hint="eastAsia" w:ascii="宋体" w:hAnsi="宋体" w:cs="宋体"/>
                <w:b/>
                <w:bCs/>
                <w:color w:val="000000"/>
                <w:kern w:val="0"/>
                <w:szCs w:val="21"/>
              </w:rPr>
              <w:t>1#25吨叉车内外门架、油管、发动机改造</w:t>
            </w:r>
          </w:p>
        </w:tc>
      </w:tr>
      <w:tr w14:paraId="143E790B">
        <w:tblPrEx>
          <w:tblCellMar>
            <w:top w:w="0" w:type="dxa"/>
            <w:left w:w="0" w:type="dxa"/>
            <w:bottom w:w="0" w:type="dxa"/>
            <w:right w:w="0" w:type="dxa"/>
          </w:tblCellMar>
        </w:tblPrEx>
        <w:trPr>
          <w:trHeight w:val="454" w:hRule="atLeast"/>
          <w:jc w:val="center"/>
        </w:trPr>
        <w:tc>
          <w:tcPr>
            <w:tcW w:w="562"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78C2789E">
            <w:pPr>
              <w:widowControl/>
              <w:jc w:val="center"/>
              <w:rPr>
                <w:rFonts w:ascii="宋体" w:hAnsi="宋体" w:cs="宋体"/>
                <w:b/>
                <w:bCs/>
                <w:color w:val="000000"/>
                <w:szCs w:val="21"/>
              </w:rPr>
            </w:pPr>
            <w:r>
              <w:rPr>
                <w:rFonts w:hint="eastAsia" w:ascii="宋体" w:hAnsi="宋体" w:cs="宋体"/>
                <w:b/>
                <w:bCs/>
                <w:color w:val="000000"/>
                <w:kern w:val="0"/>
                <w:szCs w:val="21"/>
              </w:rPr>
              <w:t>序号</w:t>
            </w:r>
          </w:p>
        </w:tc>
        <w:tc>
          <w:tcPr>
            <w:tcW w:w="1504"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5D50E251">
            <w:pPr>
              <w:widowControl/>
              <w:jc w:val="center"/>
              <w:rPr>
                <w:rFonts w:ascii="宋体" w:hAnsi="宋体" w:cs="宋体"/>
                <w:b/>
                <w:bCs/>
                <w:color w:val="000000"/>
                <w:kern w:val="0"/>
                <w:szCs w:val="21"/>
              </w:rPr>
            </w:pPr>
            <w:r>
              <w:rPr>
                <w:rFonts w:hint="eastAsia" w:ascii="宋体" w:hAnsi="宋体" w:cs="宋体"/>
                <w:b/>
                <w:bCs/>
                <w:color w:val="000000"/>
                <w:kern w:val="0"/>
                <w:szCs w:val="21"/>
              </w:rPr>
              <w:t>配件编码</w:t>
            </w:r>
          </w:p>
          <w:p w14:paraId="563A3A03">
            <w:pPr>
              <w:widowControl/>
              <w:jc w:val="center"/>
              <w:rPr>
                <w:rFonts w:ascii="宋体" w:hAnsi="宋体" w:cs="宋体"/>
                <w:b/>
                <w:bCs/>
                <w:color w:val="000000"/>
                <w:szCs w:val="21"/>
              </w:rPr>
            </w:pPr>
            <w:r>
              <w:rPr>
                <w:rFonts w:hint="eastAsia" w:ascii="宋体" w:hAnsi="宋体" w:cs="宋体"/>
                <w:b/>
                <w:bCs/>
                <w:color w:val="000000"/>
                <w:kern w:val="0"/>
                <w:szCs w:val="21"/>
              </w:rPr>
              <w:t>/（型号）</w:t>
            </w:r>
          </w:p>
        </w:tc>
        <w:tc>
          <w:tcPr>
            <w:tcW w:w="5193"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0C4CBD12">
            <w:pPr>
              <w:widowControl/>
              <w:jc w:val="center"/>
              <w:rPr>
                <w:rFonts w:ascii="宋体" w:hAnsi="宋体" w:cs="宋体"/>
                <w:b/>
                <w:bCs/>
                <w:color w:val="000000"/>
                <w:szCs w:val="21"/>
              </w:rPr>
            </w:pPr>
            <w:r>
              <w:rPr>
                <w:rFonts w:hint="eastAsia" w:ascii="宋体" w:hAnsi="宋体" w:cs="宋体"/>
                <w:b/>
                <w:bCs/>
                <w:color w:val="000000"/>
                <w:kern w:val="0"/>
                <w:szCs w:val="21"/>
              </w:rPr>
              <w:t>名称</w:t>
            </w:r>
          </w:p>
        </w:tc>
        <w:tc>
          <w:tcPr>
            <w:tcW w:w="90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2B5BB40A">
            <w:pPr>
              <w:widowControl/>
              <w:jc w:val="center"/>
              <w:rPr>
                <w:rFonts w:ascii="宋体" w:hAnsi="宋体" w:cs="宋体"/>
                <w:b/>
                <w:bCs/>
                <w:color w:val="000000"/>
                <w:szCs w:val="21"/>
              </w:rPr>
            </w:pPr>
            <w:r>
              <w:rPr>
                <w:rFonts w:hint="eastAsia" w:ascii="宋体" w:hAnsi="宋体" w:cs="宋体"/>
                <w:b/>
                <w:bCs/>
                <w:color w:val="000000"/>
                <w:kern w:val="0"/>
                <w:szCs w:val="21"/>
              </w:rPr>
              <w:t>数量</w:t>
            </w:r>
          </w:p>
        </w:tc>
      </w:tr>
      <w:tr w14:paraId="07E6D616">
        <w:tblPrEx>
          <w:tblCellMar>
            <w:top w:w="0" w:type="dxa"/>
            <w:left w:w="0" w:type="dxa"/>
            <w:bottom w:w="0" w:type="dxa"/>
            <w:right w:w="0" w:type="dxa"/>
          </w:tblCellMar>
        </w:tblPrEx>
        <w:trPr>
          <w:trHeight w:val="454" w:hRule="atLeast"/>
          <w:jc w:val="center"/>
        </w:trPr>
        <w:tc>
          <w:tcPr>
            <w:tcW w:w="562"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3C9C0FBF">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w:t>
            </w:r>
          </w:p>
        </w:tc>
        <w:tc>
          <w:tcPr>
            <w:tcW w:w="1504" w:type="dxa"/>
            <w:tcBorders>
              <w:top w:val="single" w:color="auto" w:sz="4" w:space="0"/>
              <w:left w:val="nil"/>
              <w:bottom w:val="single" w:color="000000" w:sz="4" w:space="0"/>
              <w:right w:val="single" w:color="000000" w:sz="4" w:space="0"/>
            </w:tcBorders>
            <w:noWrap/>
            <w:tcMar>
              <w:top w:w="15" w:type="dxa"/>
              <w:left w:w="15" w:type="dxa"/>
              <w:right w:w="15" w:type="dxa"/>
            </w:tcMar>
            <w:vAlign w:val="center"/>
          </w:tcPr>
          <w:p w14:paraId="0D2568CC">
            <w:pPr>
              <w:widowControl/>
              <w:jc w:val="center"/>
              <w:rPr>
                <w:rFonts w:ascii="宋体" w:hAnsi="宋体" w:cs="宋体"/>
                <w:color w:val="000000"/>
                <w:szCs w:val="21"/>
              </w:rPr>
            </w:pPr>
            <w:r>
              <w:rPr>
                <w:rFonts w:hint="eastAsia" w:ascii="宋体" w:hAnsi="宋体" w:cs="宋体"/>
                <w:color w:val="000000"/>
                <w:szCs w:val="21"/>
              </w:rPr>
              <w:t>\</w:t>
            </w:r>
          </w:p>
        </w:tc>
        <w:tc>
          <w:tcPr>
            <w:tcW w:w="5193"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8824FB">
            <w:pPr>
              <w:widowControl/>
              <w:jc w:val="center"/>
              <w:rPr>
                <w:rFonts w:ascii="宋体" w:hAnsi="宋体" w:cs="宋体"/>
                <w:szCs w:val="21"/>
              </w:rPr>
            </w:pPr>
            <w:r>
              <w:rPr>
                <w:rFonts w:hint="eastAsia" w:ascii="宋体" w:hAnsi="宋体" w:cs="宋体"/>
                <w:szCs w:val="21"/>
              </w:rPr>
              <w:t>更换卡尔玛原厂门架总成</w:t>
            </w:r>
          </w:p>
          <w:p w14:paraId="54B8FDC3">
            <w:pPr>
              <w:widowControl/>
              <w:jc w:val="center"/>
              <w:rPr>
                <w:rFonts w:ascii="宋体" w:hAnsi="宋体" w:cs="宋体"/>
                <w:snapToGrid w:val="0"/>
                <w:color w:val="000000"/>
                <w:kern w:val="0"/>
                <w:szCs w:val="21"/>
              </w:rPr>
            </w:pPr>
            <w:r>
              <w:rPr>
                <w:rFonts w:hint="eastAsia" w:ascii="宋体" w:hAnsi="宋体" w:cs="宋体"/>
                <w:szCs w:val="21"/>
              </w:rPr>
              <w:t>★(</w:t>
            </w:r>
            <w:r>
              <w:rPr>
                <w:rFonts w:hint="eastAsia"/>
              </w:rPr>
              <w:t>项目维修改造完成后，内外门架总成更换项目验收前中标人须</w:t>
            </w:r>
            <w:r>
              <w:rPr>
                <w:rFonts w:hint="eastAsia" w:ascii="宋体" w:hAnsi="宋体" w:cs="宋体"/>
                <w:szCs w:val="21"/>
              </w:rPr>
              <w:t>提供卡尔玛原厂件合格证并提供无损探伤检测报告)</w:t>
            </w:r>
          </w:p>
        </w:tc>
        <w:tc>
          <w:tcPr>
            <w:tcW w:w="900"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1FD1CB">
            <w:pPr>
              <w:widowControl/>
              <w:jc w:val="center"/>
              <w:rPr>
                <w:rFonts w:ascii="宋体" w:hAnsi="宋体" w:cs="宋体"/>
                <w:snapToGrid w:val="0"/>
                <w:color w:val="000000"/>
                <w:kern w:val="0"/>
                <w:szCs w:val="21"/>
              </w:rPr>
            </w:pPr>
            <w:r>
              <w:rPr>
                <w:rFonts w:hint="eastAsia" w:ascii="宋体" w:hAnsi="宋体" w:cs="宋体"/>
                <w:szCs w:val="21"/>
              </w:rPr>
              <w:t>1</w:t>
            </w:r>
          </w:p>
        </w:tc>
      </w:tr>
      <w:tr w14:paraId="59746A52">
        <w:tblPrEx>
          <w:tblCellMar>
            <w:top w:w="0" w:type="dxa"/>
            <w:left w:w="0" w:type="dxa"/>
            <w:bottom w:w="0" w:type="dxa"/>
            <w:right w:w="0" w:type="dxa"/>
          </w:tblCellMar>
        </w:tblPrEx>
        <w:trPr>
          <w:trHeight w:val="454" w:hRule="atLeast"/>
          <w:jc w:val="center"/>
        </w:trPr>
        <w:tc>
          <w:tcPr>
            <w:tcW w:w="562"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74C0AA2F">
            <w:pPr>
              <w:keepNext w:val="0"/>
              <w:keepLines w:val="0"/>
              <w:widowControl/>
              <w:suppressLineNumbers w:val="0"/>
              <w:jc w:val="center"/>
              <w:textAlignment w:val="auto"/>
              <w:rPr>
                <w:rFonts w:hint="eastAsia" w:ascii="宋体" w:hAnsi="宋体" w:eastAsia="宋体" w:cs="宋体"/>
                <w:snapToGrid/>
                <w:color w:val="000000"/>
                <w:kern w:val="2"/>
                <w:szCs w:val="21"/>
                <w:lang w:val="en-US" w:eastAsia="zh-CN" w:bidi="ar"/>
              </w:rPr>
            </w:pPr>
            <w:r>
              <w:rPr>
                <w:rFonts w:hint="eastAsia" w:ascii="宋体" w:hAnsi="宋体" w:eastAsia="宋体" w:cs="宋体"/>
                <w:i w:val="0"/>
                <w:iCs w:val="0"/>
                <w:color w:val="000000"/>
                <w:kern w:val="2"/>
                <w:sz w:val="21"/>
                <w:szCs w:val="21"/>
                <w:u w:val="none"/>
                <w:lang w:val="en-US" w:eastAsia="zh-CN" w:bidi="ar"/>
              </w:rPr>
              <w:t>2</w:t>
            </w:r>
          </w:p>
        </w:tc>
        <w:tc>
          <w:tcPr>
            <w:tcW w:w="1504" w:type="dxa"/>
            <w:tcBorders>
              <w:top w:val="single" w:color="auto" w:sz="4" w:space="0"/>
              <w:left w:val="nil"/>
              <w:bottom w:val="single" w:color="000000" w:sz="4" w:space="0"/>
              <w:right w:val="single" w:color="000000" w:sz="4" w:space="0"/>
            </w:tcBorders>
            <w:noWrap/>
            <w:tcMar>
              <w:top w:w="15" w:type="dxa"/>
              <w:left w:w="15" w:type="dxa"/>
              <w:right w:w="15" w:type="dxa"/>
            </w:tcMar>
            <w:vAlign w:val="center"/>
          </w:tcPr>
          <w:p w14:paraId="4FC12B4F">
            <w:pPr>
              <w:widowControl/>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w:t>
            </w:r>
          </w:p>
        </w:tc>
        <w:tc>
          <w:tcPr>
            <w:tcW w:w="5193"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67A4AB">
            <w:pPr>
              <w:widowControl/>
              <w:jc w:val="center"/>
              <w:rPr>
                <w:rFonts w:hint="default" w:ascii="宋体" w:hAnsi="宋体" w:eastAsia="宋体" w:cs="宋体"/>
                <w:szCs w:val="21"/>
                <w:lang w:val="en-US" w:eastAsia="zh-CN"/>
              </w:rPr>
            </w:pPr>
            <w:r>
              <w:rPr>
                <w:rFonts w:hint="eastAsia" w:ascii="宋体" w:hAnsi="宋体" w:cs="宋体"/>
                <w:szCs w:val="21"/>
                <w:lang w:val="en-US" w:eastAsia="zh-CN"/>
              </w:rPr>
              <w:t>全车油漆（底漆和面漆）</w:t>
            </w:r>
          </w:p>
        </w:tc>
        <w:tc>
          <w:tcPr>
            <w:tcW w:w="900"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D34246">
            <w:pPr>
              <w:widowControl/>
              <w:jc w:val="center"/>
              <w:rPr>
                <w:rFonts w:hint="eastAsia" w:ascii="宋体" w:hAnsi="宋体" w:eastAsia="宋体" w:cs="宋体"/>
                <w:szCs w:val="21"/>
                <w:lang w:val="en-US" w:eastAsia="zh-CN"/>
              </w:rPr>
            </w:pPr>
            <w:r>
              <w:rPr>
                <w:rFonts w:hint="eastAsia" w:ascii="宋体" w:hAnsi="宋体" w:cs="宋体"/>
                <w:szCs w:val="21"/>
                <w:lang w:val="en-US" w:eastAsia="zh-CN"/>
              </w:rPr>
              <w:t>1</w:t>
            </w:r>
          </w:p>
        </w:tc>
      </w:tr>
      <w:tr w14:paraId="7DFB0564">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6E8520">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A2A8E6">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A51795.0055</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775E7E">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snapToGrid w:val="0"/>
                <w:color w:val="000000"/>
                <w:kern w:val="0"/>
                <w:szCs w:val="21"/>
                <w:lang w:bidi="ar"/>
              </w:rPr>
              <w:t>九通阀至手刹阀油管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9A355A">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4F35D92B">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DFF071">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EBC3E8">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A51969.0080</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47D31F">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snapToGrid w:val="0"/>
                <w:color w:val="000000"/>
                <w:kern w:val="0"/>
                <w:szCs w:val="21"/>
                <w:lang w:bidi="ar"/>
              </w:rPr>
              <w:t>九通阀至手刹阀油管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79BB3D">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4168C986">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0E3279">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02E045">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A52682.0100</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C6D6D6">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snapToGrid w:val="0"/>
                <w:color w:val="000000"/>
                <w:kern w:val="0"/>
                <w:szCs w:val="21"/>
                <w:lang w:bidi="ar"/>
              </w:rPr>
              <w:t>九通阀至驱动桥散热油管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8C0819">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4</w:t>
            </w:r>
          </w:p>
        </w:tc>
      </w:tr>
      <w:tr w14:paraId="45AE6BDB">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684238">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6</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2F3F8B">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A51839.0100</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D46227">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snapToGrid w:val="0"/>
                <w:color w:val="000000"/>
                <w:kern w:val="0"/>
                <w:szCs w:val="21"/>
                <w:lang w:bidi="ar"/>
              </w:rPr>
              <w:t>九通阀至轮边刹车油管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FF7497">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2</w:t>
            </w:r>
          </w:p>
        </w:tc>
      </w:tr>
      <w:tr w14:paraId="69A9EFB8">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F9BD7C">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7</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5663CC">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A51837.0230</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A3D219">
            <w:pPr>
              <w:widowControl/>
              <w:jc w:val="center"/>
              <w:rPr>
                <w:rFonts w:ascii="宋体" w:hAnsi="宋体" w:cs="宋体"/>
                <w:snapToGrid w:val="0"/>
                <w:color w:val="000000"/>
                <w:kern w:val="0"/>
                <w:szCs w:val="21"/>
                <w:lang w:eastAsia="en-US"/>
              </w:rPr>
            </w:pPr>
            <w:r>
              <w:rPr>
                <w:rFonts w:hint="eastAsia" w:ascii="宋体" w:hAnsi="宋体" w:cs="宋体"/>
                <w:szCs w:val="21"/>
              </w:rPr>
              <w:t>更换</w:t>
            </w:r>
            <w:r>
              <w:rPr>
                <w:rFonts w:hint="eastAsia" w:ascii="宋体" w:hAnsi="宋体" w:cs="宋体"/>
                <w:snapToGrid w:val="0"/>
                <w:color w:val="000000"/>
                <w:kern w:val="0"/>
                <w:szCs w:val="21"/>
                <w:lang w:bidi="ar"/>
              </w:rPr>
              <w:t>脚刹阀回油管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1F6F7E">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65D5BCFA">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6AED64">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8</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7ADCD7">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A51837.0320</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4950C8">
            <w:pPr>
              <w:widowControl/>
              <w:jc w:val="center"/>
              <w:rPr>
                <w:rFonts w:ascii="宋体" w:hAnsi="宋体" w:cs="宋体"/>
                <w:snapToGrid w:val="0"/>
                <w:color w:val="000000"/>
                <w:kern w:val="0"/>
                <w:szCs w:val="21"/>
                <w:lang w:eastAsia="en-US"/>
              </w:rPr>
            </w:pPr>
            <w:r>
              <w:rPr>
                <w:rFonts w:hint="eastAsia" w:ascii="宋体" w:hAnsi="宋体" w:cs="宋体"/>
                <w:szCs w:val="21"/>
              </w:rPr>
              <w:t>更换</w:t>
            </w:r>
            <w:r>
              <w:rPr>
                <w:rFonts w:hint="eastAsia" w:ascii="宋体" w:hAnsi="宋体" w:cs="宋体"/>
                <w:snapToGrid w:val="0"/>
                <w:color w:val="000000"/>
                <w:kern w:val="0"/>
                <w:szCs w:val="21"/>
                <w:lang w:bidi="ar"/>
              </w:rPr>
              <w:t>脚刹阀进油管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4B2874">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71829A3C">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349942">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9</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89A45E">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A51826.0105</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2753B9">
            <w:pPr>
              <w:widowControl/>
              <w:jc w:val="center"/>
              <w:rPr>
                <w:rFonts w:ascii="宋体" w:hAnsi="宋体" w:cs="宋体"/>
                <w:snapToGrid w:val="0"/>
                <w:color w:val="000000"/>
                <w:kern w:val="0"/>
                <w:szCs w:val="21"/>
                <w:lang w:eastAsia="en-US"/>
              </w:rPr>
            </w:pPr>
            <w:r>
              <w:rPr>
                <w:rFonts w:hint="eastAsia" w:ascii="宋体" w:hAnsi="宋体" w:cs="宋体"/>
                <w:szCs w:val="21"/>
              </w:rPr>
              <w:t>更换</w:t>
            </w:r>
            <w:r>
              <w:rPr>
                <w:rFonts w:hint="eastAsia" w:ascii="宋体" w:hAnsi="宋体" w:cs="宋体"/>
                <w:snapToGrid w:val="0"/>
                <w:color w:val="000000"/>
                <w:kern w:val="0"/>
                <w:szCs w:val="21"/>
                <w:lang w:bidi="ar"/>
              </w:rPr>
              <w:t>手刹进油管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B17F76">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61FB6639">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F5C6A4">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10</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E8EC3A">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A51841.0325</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3234CB">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snapToGrid w:val="0"/>
                <w:color w:val="000000"/>
                <w:kern w:val="0"/>
                <w:szCs w:val="21"/>
                <w:lang w:bidi="ar"/>
              </w:rPr>
              <w:t>脚刹阀至九通阀油管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709878">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49F7133E">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79788B">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11</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276177">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A51969.0040</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88B61A">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snapToGrid w:val="0"/>
                <w:color w:val="000000"/>
                <w:kern w:val="0"/>
                <w:szCs w:val="21"/>
                <w:lang w:bidi="ar"/>
              </w:rPr>
              <w:t>副泵至高压滤芯油管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E51499">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20763F23">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178809">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12</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7E1F3C">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A51969.0100</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287345">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snapToGrid w:val="0"/>
                <w:color w:val="000000"/>
                <w:kern w:val="0"/>
                <w:szCs w:val="21"/>
                <w:lang w:bidi="ar"/>
              </w:rPr>
              <w:t>蓄能器至手刹阀油管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B0ACED">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610607D9">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BC05A5">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13</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D865A2">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A51837.0290</w:t>
            </w:r>
          </w:p>
        </w:tc>
        <w:tc>
          <w:tcPr>
            <w:tcW w:w="5193" w:type="dxa"/>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14:paraId="746BEFD9">
            <w:pPr>
              <w:jc w:val="center"/>
              <w:rPr>
                <w:rFonts w:ascii="宋体" w:hAnsi="宋体" w:cs="宋体"/>
                <w:color w:val="000000"/>
                <w:szCs w:val="21"/>
              </w:rPr>
            </w:pPr>
            <w:r>
              <w:rPr>
                <w:rFonts w:hint="eastAsia" w:ascii="宋体" w:hAnsi="宋体" w:cs="宋体"/>
                <w:szCs w:val="21"/>
              </w:rPr>
              <w:t>更换</w:t>
            </w:r>
            <w:r>
              <w:rPr>
                <w:rFonts w:hint="eastAsia" w:ascii="宋体" w:hAnsi="宋体" w:cs="宋体"/>
                <w:color w:val="000000"/>
                <w:szCs w:val="21"/>
              </w:rPr>
              <w:t>伺服制动系统</w:t>
            </w:r>
          </w:p>
        </w:tc>
        <w:tc>
          <w:tcPr>
            <w:tcW w:w="900" w:type="dxa"/>
            <w:vMerge w:val="restart"/>
            <w:tcBorders>
              <w:top w:val="single" w:color="000000" w:sz="4" w:space="0"/>
              <w:left w:val="single" w:color="000000" w:sz="4" w:space="0"/>
              <w:right w:val="single" w:color="000000" w:sz="4" w:space="0"/>
            </w:tcBorders>
            <w:shd w:val="clear" w:color="auto" w:fill="auto"/>
            <w:noWrap/>
            <w:tcMar>
              <w:top w:w="15" w:type="dxa"/>
              <w:left w:w="15" w:type="dxa"/>
              <w:right w:w="15" w:type="dxa"/>
            </w:tcMar>
            <w:vAlign w:val="center"/>
          </w:tcPr>
          <w:p w14:paraId="4B7523EE">
            <w:pPr>
              <w:jc w:val="center"/>
              <w:rPr>
                <w:rFonts w:hint="eastAsia" w:ascii="宋体" w:hAnsi="宋体" w:eastAsia="宋体" w:cs="宋体"/>
                <w:color w:val="000000"/>
                <w:szCs w:val="21"/>
                <w:lang w:eastAsia="zh-CN"/>
              </w:rPr>
            </w:pPr>
            <w:r>
              <w:rPr>
                <w:rFonts w:hint="eastAsia" w:ascii="宋体" w:hAnsi="宋体" w:cs="宋体"/>
                <w:snapToGrid w:val="0"/>
                <w:color w:val="000000"/>
                <w:kern w:val="0"/>
                <w:szCs w:val="21"/>
                <w:lang w:val="en-US" w:eastAsia="zh-CN" w:bidi="ar"/>
              </w:rPr>
              <w:t>3</w:t>
            </w:r>
          </w:p>
        </w:tc>
      </w:tr>
      <w:tr w14:paraId="37B3333E">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72576D">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14</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994DE7">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A51837.0320</w:t>
            </w:r>
          </w:p>
        </w:tc>
        <w:tc>
          <w:tcPr>
            <w:tcW w:w="5193" w:type="dxa"/>
            <w:vMerge w:val="continue"/>
            <w:tcBorders>
              <w:left w:val="single" w:color="000000" w:sz="4" w:space="0"/>
              <w:right w:val="single" w:color="000000" w:sz="4" w:space="0"/>
            </w:tcBorders>
            <w:noWrap/>
            <w:tcMar>
              <w:top w:w="15" w:type="dxa"/>
              <w:left w:w="15" w:type="dxa"/>
              <w:right w:w="15" w:type="dxa"/>
            </w:tcMar>
            <w:vAlign w:val="center"/>
          </w:tcPr>
          <w:p w14:paraId="2B4AE4EC">
            <w:pPr>
              <w:jc w:val="center"/>
              <w:rPr>
                <w:rFonts w:ascii="宋体" w:hAnsi="宋体" w:cs="宋体"/>
                <w:color w:val="000000"/>
                <w:szCs w:val="21"/>
              </w:rPr>
            </w:pPr>
          </w:p>
        </w:tc>
        <w:tc>
          <w:tcPr>
            <w:tcW w:w="9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1D1E9889">
            <w:pPr>
              <w:jc w:val="center"/>
              <w:rPr>
                <w:rFonts w:ascii="宋体" w:hAnsi="宋体" w:cs="宋体"/>
                <w:color w:val="000000"/>
                <w:szCs w:val="21"/>
              </w:rPr>
            </w:pPr>
          </w:p>
        </w:tc>
      </w:tr>
      <w:tr w14:paraId="1AA617F1">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FFFBAF">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15</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111CC2">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A51841.0300</w:t>
            </w:r>
          </w:p>
          <w:p w14:paraId="398E9BD6"/>
        </w:tc>
        <w:tc>
          <w:tcPr>
            <w:tcW w:w="5193" w:type="dxa"/>
            <w:vMerge w:val="continue"/>
            <w:tcBorders>
              <w:left w:val="single" w:color="000000" w:sz="4" w:space="0"/>
              <w:bottom w:val="single" w:color="000000" w:sz="4" w:space="0"/>
              <w:right w:val="single" w:color="000000" w:sz="4" w:space="0"/>
            </w:tcBorders>
            <w:noWrap/>
            <w:tcMar>
              <w:top w:w="15" w:type="dxa"/>
              <w:left w:w="15" w:type="dxa"/>
              <w:right w:w="15" w:type="dxa"/>
            </w:tcMar>
            <w:vAlign w:val="center"/>
          </w:tcPr>
          <w:p w14:paraId="7540A56E">
            <w:pPr>
              <w:jc w:val="center"/>
              <w:rPr>
                <w:rFonts w:ascii="宋体" w:hAnsi="宋体" w:cs="宋体"/>
                <w:color w:val="000000"/>
                <w:szCs w:val="21"/>
              </w:rPr>
            </w:pPr>
          </w:p>
        </w:tc>
        <w:tc>
          <w:tcPr>
            <w:tcW w:w="900" w:type="dxa"/>
            <w:vMerge w:val="continue"/>
            <w:tcBorders>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D6E55A">
            <w:pPr>
              <w:widowControl/>
              <w:jc w:val="center"/>
              <w:rPr>
                <w:rFonts w:ascii="宋体" w:hAnsi="宋体" w:cs="宋体"/>
                <w:snapToGrid w:val="0"/>
                <w:color w:val="000000"/>
                <w:kern w:val="0"/>
                <w:szCs w:val="21"/>
                <w:lang w:eastAsia="en-US"/>
              </w:rPr>
            </w:pPr>
          </w:p>
        </w:tc>
      </w:tr>
      <w:tr w14:paraId="268F99A7">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CDB962">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16</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F197DB">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A51794.0315</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0E1659">
            <w:pPr>
              <w:widowControl/>
              <w:jc w:val="center"/>
              <w:rPr>
                <w:rFonts w:ascii="宋体" w:hAnsi="宋体" w:cs="宋体"/>
                <w:snapToGrid w:val="0"/>
                <w:color w:val="000000"/>
                <w:kern w:val="0"/>
                <w:szCs w:val="21"/>
                <w:lang w:eastAsia="en-US"/>
              </w:rPr>
            </w:pPr>
            <w:r>
              <w:rPr>
                <w:rFonts w:hint="eastAsia" w:ascii="宋体" w:hAnsi="宋体" w:cs="宋体"/>
                <w:szCs w:val="21"/>
              </w:rPr>
              <w:t>更换</w:t>
            </w:r>
            <w:r>
              <w:rPr>
                <w:rFonts w:hint="eastAsia" w:ascii="宋体" w:hAnsi="宋体" w:cs="宋体"/>
                <w:color w:val="000000"/>
                <w:szCs w:val="21"/>
              </w:rPr>
              <w:t>方向机回油管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DAA2E3">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5A2BA598">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0EB02C">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17</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346947">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A51794.0280</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8D58B8">
            <w:pPr>
              <w:widowControl/>
              <w:jc w:val="center"/>
              <w:rPr>
                <w:rFonts w:ascii="宋体" w:hAnsi="宋体" w:cs="宋体"/>
                <w:snapToGrid w:val="0"/>
                <w:color w:val="000000"/>
                <w:kern w:val="0"/>
                <w:szCs w:val="21"/>
                <w:lang w:eastAsia="en-US"/>
              </w:rPr>
            </w:pPr>
            <w:r>
              <w:rPr>
                <w:rFonts w:hint="eastAsia" w:ascii="宋体" w:hAnsi="宋体" w:cs="宋体"/>
                <w:szCs w:val="21"/>
              </w:rPr>
              <w:t>更换</w:t>
            </w:r>
            <w:r>
              <w:rPr>
                <w:rFonts w:hint="eastAsia" w:ascii="宋体" w:hAnsi="宋体" w:cs="宋体"/>
                <w:color w:val="000000"/>
                <w:szCs w:val="21"/>
              </w:rPr>
              <w:t>方向机进油管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087344">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743A3FFF">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E92143">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18</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39D798">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A51826.0275</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F5708B">
            <w:pPr>
              <w:widowControl/>
              <w:jc w:val="center"/>
              <w:rPr>
                <w:rFonts w:ascii="宋体" w:hAnsi="宋体" w:cs="宋体"/>
                <w:snapToGrid w:val="0"/>
                <w:color w:val="000000"/>
                <w:kern w:val="0"/>
                <w:szCs w:val="21"/>
                <w:lang w:eastAsia="en-US"/>
              </w:rPr>
            </w:pPr>
            <w:r>
              <w:rPr>
                <w:rFonts w:hint="eastAsia" w:ascii="宋体" w:hAnsi="宋体" w:cs="宋体"/>
                <w:szCs w:val="21"/>
              </w:rPr>
              <w:t>更换</w:t>
            </w:r>
            <w:r>
              <w:rPr>
                <w:rFonts w:hint="eastAsia" w:ascii="宋体" w:hAnsi="宋体" w:cs="宋体"/>
                <w:color w:val="000000"/>
                <w:szCs w:val="21"/>
              </w:rPr>
              <w:t>方向机控制油管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5A2DFA">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207B668E">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8F70D7">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19</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D096CF">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A51825.0200</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1B2B13">
            <w:pPr>
              <w:widowControl/>
              <w:jc w:val="center"/>
              <w:rPr>
                <w:rFonts w:ascii="宋体" w:hAnsi="宋体" w:cs="宋体"/>
                <w:snapToGrid w:val="0"/>
                <w:color w:val="000000"/>
                <w:kern w:val="0"/>
                <w:szCs w:val="21"/>
                <w:lang w:eastAsia="en-US"/>
              </w:rPr>
            </w:pPr>
            <w:r>
              <w:rPr>
                <w:rFonts w:hint="eastAsia" w:ascii="宋体" w:hAnsi="宋体" w:cs="宋体"/>
                <w:szCs w:val="21"/>
              </w:rPr>
              <w:t>更换</w:t>
            </w:r>
            <w:r>
              <w:rPr>
                <w:rFonts w:hint="eastAsia" w:ascii="宋体" w:hAnsi="宋体" w:cs="宋体"/>
                <w:color w:val="000000"/>
                <w:szCs w:val="21"/>
              </w:rPr>
              <w:t>方向机进油管细</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A22056">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5959B134">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AF470B">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20</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9BA273">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A52278.0120</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F00991">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优先阀至多路阀油管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01439A">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4D928461">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CC27FE">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21</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EAF5F7">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A51821.0205</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5083A4">
            <w:pPr>
              <w:widowControl/>
              <w:jc w:val="center"/>
              <w:rPr>
                <w:rFonts w:ascii="宋体" w:hAnsi="宋体" w:cs="宋体"/>
                <w:snapToGrid w:val="0"/>
                <w:color w:val="000000"/>
                <w:kern w:val="0"/>
                <w:szCs w:val="21"/>
                <w:lang w:eastAsia="en-US"/>
              </w:rPr>
            </w:pPr>
            <w:r>
              <w:rPr>
                <w:rFonts w:hint="eastAsia" w:ascii="宋体" w:hAnsi="宋体" w:cs="宋体"/>
                <w:szCs w:val="21"/>
              </w:rPr>
              <w:t>更换</w:t>
            </w:r>
            <w:r>
              <w:rPr>
                <w:rFonts w:hint="eastAsia" w:ascii="宋体" w:hAnsi="宋体" w:cs="宋体"/>
                <w:color w:val="000000"/>
                <w:szCs w:val="21"/>
              </w:rPr>
              <w:t>多路阀回油管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6A65AA">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6D2CA299">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C2D8C8">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22</w:t>
            </w:r>
          </w:p>
        </w:tc>
        <w:tc>
          <w:tcPr>
            <w:tcW w:w="1504" w:type="dxa"/>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14:paraId="65A6EC97">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A51826.0075</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CF7926">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主阀连接控制阀油管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AA758B">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7037A961">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70EC7F">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23</w:t>
            </w:r>
          </w:p>
        </w:tc>
        <w:tc>
          <w:tcPr>
            <w:tcW w:w="15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1C98A6">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A52133.0065</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0328B7">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液压主泵至油箱油管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087E49">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0069FFFC">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5AC0A7">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24</w:t>
            </w:r>
          </w:p>
        </w:tc>
        <w:tc>
          <w:tcPr>
            <w:tcW w:w="1504"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95AE30">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A52133.0073</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F03F9B">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液压主泵至油箱油管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057C0D">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7E4AA509">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B2BDB8">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25</w:t>
            </w:r>
          </w:p>
        </w:tc>
        <w:tc>
          <w:tcPr>
            <w:tcW w:w="1504"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37FC48">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A52129.0070</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7ADAE7">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液压刹车泵至油箱油管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43174A">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2A535A52">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FDC5C2">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26</w:t>
            </w:r>
          </w:p>
        </w:tc>
        <w:tc>
          <w:tcPr>
            <w:tcW w:w="15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3A683F">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A51990.0140</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427D30">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多路阀至油箱油管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4352DC">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3D2C86B7">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D45F7B">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27</w:t>
            </w:r>
          </w:p>
        </w:tc>
        <w:tc>
          <w:tcPr>
            <w:tcW w:w="15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BD8040">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A51990.0125</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4E0DD9">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液压刹车泵至油箱油管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E33A9F">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1DE005AE">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EBFC21">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28</w:t>
            </w:r>
          </w:p>
        </w:tc>
        <w:tc>
          <w:tcPr>
            <w:tcW w:w="15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E5449F">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A51826.0180</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662905">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多路阀至油箱油管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AE9473">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155C7D49">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C0ACAB">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29</w:t>
            </w:r>
          </w:p>
        </w:tc>
        <w:tc>
          <w:tcPr>
            <w:tcW w:w="15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4283CC">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A52212.0140</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40102A">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液压泵至多路阀进油管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4BF295">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3FA5CC08">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4A60F0">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30</w:t>
            </w:r>
          </w:p>
        </w:tc>
        <w:tc>
          <w:tcPr>
            <w:tcW w:w="15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08AE1E">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A52278.0095</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700D1A">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液压副泵至优先阀进油管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B14A75">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0C08889F">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767EB2">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31</w:t>
            </w:r>
          </w:p>
        </w:tc>
        <w:tc>
          <w:tcPr>
            <w:tcW w:w="15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F81001">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A51794.0080</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4C9A31">
            <w:pPr>
              <w:widowControl/>
              <w:jc w:val="center"/>
              <w:rPr>
                <w:rFonts w:ascii="宋体" w:hAnsi="宋体" w:cs="宋体"/>
                <w:snapToGrid w:val="0"/>
                <w:color w:val="000000"/>
                <w:kern w:val="0"/>
                <w:szCs w:val="21"/>
                <w:lang w:eastAsia="en-US"/>
              </w:rPr>
            </w:pPr>
            <w:r>
              <w:rPr>
                <w:rFonts w:hint="eastAsia" w:ascii="宋体" w:hAnsi="宋体" w:cs="宋体"/>
                <w:szCs w:val="21"/>
              </w:rPr>
              <w:t>更换</w:t>
            </w:r>
            <w:r>
              <w:rPr>
                <w:rFonts w:hint="eastAsia" w:ascii="宋体" w:hAnsi="宋体" w:cs="宋体"/>
                <w:color w:val="000000"/>
                <w:szCs w:val="21"/>
              </w:rPr>
              <w:t>多路阀至门架进油管3A4B</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613628">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2</w:t>
            </w:r>
          </w:p>
        </w:tc>
      </w:tr>
      <w:tr w14:paraId="1E78FE9B">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93B2F6">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32</w:t>
            </w:r>
          </w:p>
        </w:tc>
        <w:tc>
          <w:tcPr>
            <w:tcW w:w="15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83DB3D">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A51794.0095</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12064B">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多路阀至门架进油管3B</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E9F358">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09F5DBB9">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426F07">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33</w:t>
            </w:r>
          </w:p>
        </w:tc>
        <w:tc>
          <w:tcPr>
            <w:tcW w:w="15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4BFDFB">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A51794.0070</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6E799B">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多路阀至门架进油管4A</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6242CD">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3593DDD6">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934DD5">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34</w:t>
            </w:r>
          </w:p>
        </w:tc>
        <w:tc>
          <w:tcPr>
            <w:tcW w:w="15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FA6586">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A51795.0185</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07F764">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门架至溢流阀进油管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223B3B">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0C6E20F9">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2A03AC">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35</w:t>
            </w:r>
          </w:p>
        </w:tc>
        <w:tc>
          <w:tcPr>
            <w:tcW w:w="15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A2C442">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A51795.0050</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25F6E8">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起升油缸通管</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881ABA">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6A8FA0FC">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5A6956">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36</w:t>
            </w:r>
          </w:p>
        </w:tc>
        <w:tc>
          <w:tcPr>
            <w:tcW w:w="15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D1E91C">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A51795.0065</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461E19">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起升溢流阀至起升油缸油管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E4F552">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294E466B">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067C58">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37</w:t>
            </w:r>
          </w:p>
        </w:tc>
        <w:tc>
          <w:tcPr>
            <w:tcW w:w="15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24B64A">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A51795.0195</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C344B4">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门架至溢流阀三通油管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258805">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3A2FC1FA">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0184D7">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38</w:t>
            </w:r>
          </w:p>
        </w:tc>
        <w:tc>
          <w:tcPr>
            <w:tcW w:w="15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7EC353">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A51795.0120</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45018F">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起升溢流阀至起升油缸油管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C5EC4F">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70660282">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2491D7">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39</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43ED73">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A51795.0160</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5CD8A5">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门架至起升油缸回油三通油管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4960F5">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7621336A">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583936">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40</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C9C451">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A51794.0105</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3EE63E">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门架至起升油缸进油三通油管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F8DFAB">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12B8C7A6">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F78339">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41</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BA6886">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A51969.0090</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11ACD4">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左前倾油缸进油管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D849D0">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20BDEE97">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D64DFB">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42</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312581">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A51794.0150</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93AE06">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右前倾油缸进油管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53B4C1">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7CE6ABDC">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439EF9">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43</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EFB6A2">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A51794.0165</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CA1364">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右前倾油缸回油管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23882B">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21362593">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A8CB5B">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44</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681DD0">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A51969.0100</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D709B0">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左前倾油缸回油管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F14FC3">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5629D237">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CCBB4A">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45</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7F3C77">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A51806.0036</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D7EEDA">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液压油箱至液压散热器油管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89DD2C">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7685BCD1">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A75ADF">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46</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BC6255">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A51806.0330</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69BFE9">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九通阀至液压油散热器油管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F05301">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5431BA88">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30E5B4">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47</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55DE2A">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A51806.0085</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13A98E">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液压油箱至液压散热器油管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1B2353">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3DC181C1">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F91E10">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48</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602563">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A51826.0270</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94BED2">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优先阀至油箱回油管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32E569">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272D2417">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07F83A">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49</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FCCD78">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A51794.0625</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23C9F4">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转向油缸油缸</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94958E">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2</w:t>
            </w:r>
          </w:p>
        </w:tc>
      </w:tr>
      <w:tr w14:paraId="0EA3D3AA">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F40549">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50</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22F079">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A51825.0050</w:t>
            </w:r>
          </w:p>
        </w:tc>
        <w:tc>
          <w:tcPr>
            <w:tcW w:w="5193" w:type="dxa"/>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14:paraId="5C3C8CD5">
            <w:pPr>
              <w:jc w:val="center"/>
              <w:rPr>
                <w:rFonts w:ascii="宋体" w:hAnsi="宋体" w:cs="宋体"/>
                <w:color w:val="000000"/>
                <w:szCs w:val="21"/>
              </w:rPr>
            </w:pPr>
            <w:r>
              <w:rPr>
                <w:rFonts w:hint="eastAsia" w:ascii="宋体" w:hAnsi="宋体" w:cs="宋体"/>
                <w:szCs w:val="21"/>
              </w:rPr>
              <w:t>更换</w:t>
            </w:r>
            <w:r>
              <w:rPr>
                <w:rFonts w:hint="eastAsia" w:ascii="宋体" w:hAnsi="宋体" w:cs="宋体"/>
                <w:color w:val="000000"/>
                <w:szCs w:val="21"/>
              </w:rPr>
              <w:t>变速箱的泵至阀油管</w:t>
            </w:r>
          </w:p>
        </w:tc>
        <w:tc>
          <w:tcPr>
            <w:tcW w:w="900" w:type="dxa"/>
            <w:vMerge w:val="restart"/>
            <w:tcBorders>
              <w:top w:val="single" w:color="000000" w:sz="4" w:space="0"/>
              <w:left w:val="single" w:color="000000" w:sz="4" w:space="0"/>
              <w:right w:val="single" w:color="000000" w:sz="4" w:space="0"/>
            </w:tcBorders>
            <w:shd w:val="clear" w:color="auto" w:fill="auto"/>
            <w:noWrap/>
            <w:tcMar>
              <w:top w:w="15" w:type="dxa"/>
              <w:left w:w="15" w:type="dxa"/>
              <w:right w:w="15" w:type="dxa"/>
            </w:tcMar>
            <w:vAlign w:val="center"/>
          </w:tcPr>
          <w:p w14:paraId="4DCCE60E">
            <w:pPr>
              <w:jc w:val="center"/>
              <w:rPr>
                <w:rFonts w:hint="eastAsia" w:ascii="宋体" w:hAnsi="宋体" w:eastAsia="宋体" w:cs="宋体"/>
                <w:color w:val="000000"/>
                <w:szCs w:val="21"/>
                <w:lang w:eastAsia="zh-CN"/>
              </w:rPr>
            </w:pPr>
            <w:r>
              <w:rPr>
                <w:rFonts w:hint="eastAsia" w:ascii="宋体" w:hAnsi="宋体" w:cs="宋体"/>
                <w:snapToGrid w:val="0"/>
                <w:color w:val="000000"/>
                <w:kern w:val="0"/>
                <w:szCs w:val="21"/>
                <w:lang w:val="en-US" w:eastAsia="zh-CN" w:bidi="ar"/>
              </w:rPr>
              <w:t>4</w:t>
            </w:r>
          </w:p>
        </w:tc>
      </w:tr>
      <w:tr w14:paraId="674539FA">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84AE02">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51</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C57B26">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A51825.0100</w:t>
            </w:r>
          </w:p>
        </w:tc>
        <w:tc>
          <w:tcPr>
            <w:tcW w:w="5193" w:type="dxa"/>
            <w:vMerge w:val="continue"/>
            <w:tcBorders>
              <w:left w:val="single" w:color="000000" w:sz="4" w:space="0"/>
              <w:right w:val="single" w:color="000000" w:sz="4" w:space="0"/>
            </w:tcBorders>
            <w:noWrap/>
            <w:tcMar>
              <w:top w:w="15" w:type="dxa"/>
              <w:left w:w="15" w:type="dxa"/>
              <w:right w:w="15" w:type="dxa"/>
            </w:tcMar>
            <w:vAlign w:val="center"/>
          </w:tcPr>
          <w:p w14:paraId="477CCF04">
            <w:pPr>
              <w:jc w:val="center"/>
              <w:rPr>
                <w:rFonts w:ascii="宋体" w:hAnsi="宋体" w:cs="宋体"/>
                <w:color w:val="000000"/>
                <w:szCs w:val="21"/>
              </w:rPr>
            </w:pPr>
          </w:p>
        </w:tc>
        <w:tc>
          <w:tcPr>
            <w:tcW w:w="9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2BDF86C9">
            <w:pPr>
              <w:jc w:val="center"/>
              <w:rPr>
                <w:rFonts w:ascii="宋体" w:hAnsi="宋体" w:cs="宋体"/>
                <w:color w:val="000000"/>
                <w:szCs w:val="21"/>
              </w:rPr>
            </w:pPr>
          </w:p>
        </w:tc>
      </w:tr>
      <w:tr w14:paraId="33F8E05E">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ADA492">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52</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A176A2">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A51825.0040</w:t>
            </w:r>
          </w:p>
        </w:tc>
        <w:tc>
          <w:tcPr>
            <w:tcW w:w="5193" w:type="dxa"/>
            <w:vMerge w:val="continue"/>
            <w:tcBorders>
              <w:left w:val="single" w:color="000000" w:sz="4" w:space="0"/>
              <w:right w:val="single" w:color="000000" w:sz="4" w:space="0"/>
            </w:tcBorders>
            <w:noWrap/>
            <w:tcMar>
              <w:top w:w="15" w:type="dxa"/>
              <w:left w:w="15" w:type="dxa"/>
              <w:right w:w="15" w:type="dxa"/>
            </w:tcMar>
            <w:vAlign w:val="center"/>
          </w:tcPr>
          <w:p w14:paraId="6AD8EC49">
            <w:pPr>
              <w:jc w:val="center"/>
              <w:rPr>
                <w:rFonts w:ascii="宋体" w:hAnsi="宋体" w:cs="宋体"/>
                <w:color w:val="000000"/>
                <w:szCs w:val="21"/>
              </w:rPr>
            </w:pPr>
          </w:p>
        </w:tc>
        <w:tc>
          <w:tcPr>
            <w:tcW w:w="9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14E39733">
            <w:pPr>
              <w:jc w:val="center"/>
              <w:rPr>
                <w:rFonts w:ascii="宋体" w:hAnsi="宋体" w:cs="宋体"/>
                <w:color w:val="000000"/>
                <w:szCs w:val="21"/>
              </w:rPr>
            </w:pPr>
          </w:p>
        </w:tc>
      </w:tr>
      <w:tr w14:paraId="1CF4A67F">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883FFE">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53</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82CB68">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A51826.0070</w:t>
            </w:r>
          </w:p>
        </w:tc>
        <w:tc>
          <w:tcPr>
            <w:tcW w:w="5193" w:type="dxa"/>
            <w:vMerge w:val="continue"/>
            <w:tcBorders>
              <w:left w:val="single" w:color="000000" w:sz="4" w:space="0"/>
              <w:bottom w:val="single" w:color="000000" w:sz="4" w:space="0"/>
              <w:right w:val="single" w:color="000000" w:sz="4" w:space="0"/>
            </w:tcBorders>
            <w:noWrap/>
            <w:tcMar>
              <w:top w:w="15" w:type="dxa"/>
              <w:left w:w="15" w:type="dxa"/>
              <w:right w:w="15" w:type="dxa"/>
            </w:tcMar>
            <w:vAlign w:val="center"/>
          </w:tcPr>
          <w:p w14:paraId="6B71E596">
            <w:pPr>
              <w:jc w:val="center"/>
              <w:rPr>
                <w:rFonts w:ascii="宋体" w:hAnsi="宋体" w:cs="宋体"/>
                <w:color w:val="000000"/>
                <w:szCs w:val="21"/>
              </w:rPr>
            </w:pPr>
          </w:p>
        </w:tc>
        <w:tc>
          <w:tcPr>
            <w:tcW w:w="900" w:type="dxa"/>
            <w:vMerge w:val="continue"/>
            <w:tcBorders>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542281">
            <w:pPr>
              <w:widowControl/>
              <w:jc w:val="center"/>
              <w:rPr>
                <w:rFonts w:ascii="宋体" w:hAnsi="宋体" w:cs="宋体"/>
                <w:snapToGrid w:val="0"/>
                <w:color w:val="000000"/>
                <w:kern w:val="0"/>
                <w:szCs w:val="21"/>
                <w:lang w:eastAsia="en-US"/>
              </w:rPr>
            </w:pPr>
          </w:p>
        </w:tc>
      </w:tr>
      <w:tr w14:paraId="34782045">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3A3E31">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54</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5D4CEE">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A54942.0270</w:t>
            </w:r>
          </w:p>
        </w:tc>
        <w:tc>
          <w:tcPr>
            <w:tcW w:w="5193" w:type="dxa"/>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14:paraId="5BA55E60">
            <w:pPr>
              <w:jc w:val="center"/>
              <w:rPr>
                <w:rFonts w:ascii="宋体" w:hAnsi="宋体" w:cs="宋体"/>
                <w:color w:val="000000"/>
                <w:szCs w:val="21"/>
              </w:rPr>
            </w:pPr>
            <w:r>
              <w:rPr>
                <w:rFonts w:hint="eastAsia" w:ascii="宋体" w:hAnsi="宋体" w:cs="宋体"/>
                <w:szCs w:val="21"/>
              </w:rPr>
              <w:t>更换</w:t>
            </w:r>
            <w:r>
              <w:rPr>
                <w:rFonts w:hint="eastAsia" w:ascii="宋体" w:hAnsi="宋体" w:cs="宋体"/>
                <w:color w:val="000000"/>
                <w:szCs w:val="21"/>
              </w:rPr>
              <w:t>起升油缸连接油管</w:t>
            </w:r>
          </w:p>
        </w:tc>
        <w:tc>
          <w:tcPr>
            <w:tcW w:w="900" w:type="dxa"/>
            <w:vMerge w:val="restart"/>
            <w:tcBorders>
              <w:top w:val="single" w:color="000000" w:sz="4" w:space="0"/>
              <w:left w:val="single" w:color="000000" w:sz="4" w:space="0"/>
              <w:right w:val="single" w:color="000000" w:sz="4" w:space="0"/>
            </w:tcBorders>
            <w:shd w:val="clear" w:color="auto" w:fill="auto"/>
            <w:noWrap/>
            <w:tcMar>
              <w:top w:w="15" w:type="dxa"/>
              <w:left w:w="15" w:type="dxa"/>
              <w:right w:w="15" w:type="dxa"/>
            </w:tcMar>
            <w:vAlign w:val="center"/>
          </w:tcPr>
          <w:p w14:paraId="06029232">
            <w:pPr>
              <w:jc w:val="center"/>
              <w:rPr>
                <w:rFonts w:ascii="宋体" w:hAnsi="宋体" w:cs="宋体"/>
                <w:color w:val="000000"/>
                <w:szCs w:val="21"/>
              </w:rPr>
            </w:pPr>
            <w:r>
              <w:rPr>
                <w:rFonts w:hint="eastAsia" w:ascii="宋体" w:hAnsi="宋体" w:cs="宋体"/>
                <w:snapToGrid w:val="0"/>
                <w:color w:val="000000"/>
                <w:kern w:val="0"/>
                <w:szCs w:val="21"/>
                <w:lang w:bidi="ar"/>
              </w:rPr>
              <w:t>2</w:t>
            </w:r>
          </w:p>
        </w:tc>
      </w:tr>
      <w:tr w14:paraId="31F94BFA">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8F9D27">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55</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631DB1">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A54942.0260</w:t>
            </w:r>
          </w:p>
        </w:tc>
        <w:tc>
          <w:tcPr>
            <w:tcW w:w="5193" w:type="dxa"/>
            <w:vMerge w:val="continue"/>
            <w:tcBorders>
              <w:left w:val="single" w:color="000000" w:sz="4" w:space="0"/>
              <w:bottom w:val="single" w:color="000000" w:sz="4" w:space="0"/>
              <w:right w:val="single" w:color="000000" w:sz="4" w:space="0"/>
            </w:tcBorders>
            <w:noWrap/>
            <w:tcMar>
              <w:top w:w="15" w:type="dxa"/>
              <w:left w:w="15" w:type="dxa"/>
              <w:right w:w="15" w:type="dxa"/>
            </w:tcMar>
            <w:vAlign w:val="center"/>
          </w:tcPr>
          <w:p w14:paraId="2E46DB47">
            <w:pPr>
              <w:jc w:val="center"/>
              <w:rPr>
                <w:rFonts w:ascii="宋体" w:hAnsi="宋体" w:cs="宋体"/>
                <w:color w:val="000000"/>
                <w:szCs w:val="21"/>
              </w:rPr>
            </w:pPr>
          </w:p>
        </w:tc>
        <w:tc>
          <w:tcPr>
            <w:tcW w:w="900" w:type="dxa"/>
            <w:vMerge w:val="continue"/>
            <w:tcBorders>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3F12E6">
            <w:pPr>
              <w:widowControl/>
              <w:jc w:val="center"/>
              <w:rPr>
                <w:rFonts w:ascii="宋体" w:hAnsi="宋体" w:cs="宋体"/>
                <w:snapToGrid w:val="0"/>
                <w:color w:val="000000"/>
                <w:kern w:val="0"/>
                <w:szCs w:val="21"/>
                <w:lang w:eastAsia="en-US"/>
              </w:rPr>
            </w:pPr>
          </w:p>
        </w:tc>
      </w:tr>
      <w:tr w14:paraId="7FF9D36E">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2EE482">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56</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288D80">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923978.1051</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D20997">
            <w:pPr>
              <w:widowControl/>
              <w:wordWrap w:val="0"/>
              <w:jc w:val="center"/>
              <w:textAlignment w:val="bottom"/>
              <w:rPr>
                <w:rFonts w:ascii="宋体" w:hAnsi="宋体" w:cs="宋体"/>
                <w:szCs w:val="21"/>
              </w:rPr>
            </w:pPr>
            <w:r>
              <w:rPr>
                <w:rFonts w:hint="eastAsia" w:ascii="宋体" w:hAnsi="宋体" w:cs="宋体"/>
                <w:szCs w:val="21"/>
              </w:rPr>
              <w:t>更换内门架起升油缸修理包</w:t>
            </w:r>
          </w:p>
          <w:p w14:paraId="4BB3B661">
            <w:pPr>
              <w:widowControl/>
              <w:wordWrap w:val="0"/>
              <w:jc w:val="center"/>
              <w:textAlignment w:val="bottom"/>
              <w:rPr>
                <w:rFonts w:ascii="宋体" w:hAnsi="宋体" w:cs="宋体"/>
                <w:snapToGrid w:val="0"/>
                <w:kern w:val="0"/>
                <w:szCs w:val="21"/>
              </w:rPr>
            </w:pPr>
            <w:r>
              <w:rPr>
                <w:rFonts w:hint="eastAsia" w:ascii="宋体" w:hAnsi="宋体" w:cs="宋体"/>
                <w:szCs w:val="21"/>
              </w:rPr>
              <w:t>▲（推荐进口品牌：NOK、HALLITE、FAG</w:t>
            </w:r>
            <w:r>
              <w:rPr>
                <w:rFonts w:hint="eastAsia" w:ascii="宋体" w:hAnsi="宋体" w:cs="宋体"/>
                <w:szCs w:val="21"/>
                <w:lang w:bidi="ar"/>
              </w:rPr>
              <w:t>或</w:t>
            </w:r>
            <w:r>
              <w:rPr>
                <w:rFonts w:hint="eastAsia" w:ascii="宋体" w:hAnsi="宋体" w:cs="宋体"/>
                <w:szCs w:val="21"/>
                <w:lang w:eastAsia="zh-CN" w:bidi="ar"/>
              </w:rPr>
              <w:t>相当于</w:t>
            </w:r>
            <w:r>
              <w:rPr>
                <w:rFonts w:hint="eastAsia" w:ascii="宋体" w:hAnsi="宋体" w:cs="宋体"/>
                <w:szCs w:val="21"/>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03C12D">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2</w:t>
            </w:r>
          </w:p>
        </w:tc>
      </w:tr>
      <w:tr w14:paraId="4844B4E0">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9810B8">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57</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BC9696">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924472.0009</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8F85FA">
            <w:pPr>
              <w:widowControl/>
              <w:wordWrap w:val="0"/>
              <w:jc w:val="center"/>
              <w:textAlignment w:val="bottom"/>
              <w:rPr>
                <w:rFonts w:ascii="宋体" w:hAnsi="宋体" w:cs="宋体"/>
                <w:szCs w:val="21"/>
              </w:rPr>
            </w:pPr>
            <w:r>
              <w:rPr>
                <w:rFonts w:hint="eastAsia" w:ascii="宋体" w:hAnsi="宋体" w:cs="宋体"/>
                <w:szCs w:val="21"/>
              </w:rPr>
              <w:t>更换牌坊起升油缸总成</w:t>
            </w:r>
          </w:p>
          <w:p w14:paraId="2BAB0322">
            <w:pPr>
              <w:widowControl/>
              <w:wordWrap w:val="0"/>
              <w:jc w:val="center"/>
              <w:textAlignment w:val="bottom"/>
              <w:rPr>
                <w:rFonts w:ascii="宋体" w:hAnsi="宋体" w:cs="宋体"/>
                <w:snapToGrid w:val="0"/>
                <w:kern w:val="0"/>
                <w:szCs w:val="21"/>
              </w:rPr>
            </w:pPr>
            <w:r>
              <w:rPr>
                <w:rFonts w:hint="eastAsia" w:ascii="宋体" w:hAnsi="宋体" w:cs="宋体"/>
                <w:szCs w:val="21"/>
              </w:rPr>
              <w:t>★（</w:t>
            </w:r>
            <w:r>
              <w:rPr>
                <w:rFonts w:hint="eastAsia"/>
              </w:rPr>
              <w:t>项目维修改造完成后，内外门架总成更换项目验收前中标人须</w:t>
            </w:r>
            <w:r>
              <w:rPr>
                <w:rFonts w:hint="eastAsia" w:ascii="宋体" w:hAnsi="宋体" w:cs="宋体"/>
                <w:szCs w:val="21"/>
              </w:rPr>
              <w:t>卡尔玛原厂件并提供出厂合格证）</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CFB3F5">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2</w:t>
            </w:r>
          </w:p>
        </w:tc>
      </w:tr>
      <w:tr w14:paraId="5844506F">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2678E8">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58</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5692FB">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920744.0019</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51B861">
            <w:pPr>
              <w:widowControl/>
              <w:wordWrap w:val="0"/>
              <w:jc w:val="center"/>
              <w:textAlignment w:val="bottom"/>
              <w:rPr>
                <w:rFonts w:ascii="宋体" w:hAnsi="宋体" w:cs="宋体"/>
                <w:szCs w:val="21"/>
              </w:rPr>
            </w:pPr>
            <w:r>
              <w:rPr>
                <w:rFonts w:hint="eastAsia" w:ascii="宋体" w:hAnsi="宋体" w:cs="宋体"/>
                <w:szCs w:val="21"/>
              </w:rPr>
              <w:t>更换平移油缸修理包</w:t>
            </w:r>
          </w:p>
          <w:p w14:paraId="4FD3A0E1">
            <w:pPr>
              <w:widowControl/>
              <w:wordWrap w:val="0"/>
              <w:jc w:val="center"/>
              <w:textAlignment w:val="bottom"/>
              <w:rPr>
                <w:rFonts w:ascii="宋体" w:hAnsi="宋体" w:cs="宋体"/>
                <w:snapToGrid w:val="0"/>
                <w:kern w:val="0"/>
                <w:szCs w:val="21"/>
              </w:rPr>
            </w:pPr>
            <w:r>
              <w:rPr>
                <w:rFonts w:hint="eastAsia" w:ascii="宋体" w:hAnsi="宋体" w:cs="宋体"/>
                <w:szCs w:val="21"/>
              </w:rPr>
              <w:t>▲（推荐进口品牌：NOK、HALLITE、FAG</w:t>
            </w:r>
            <w:r>
              <w:rPr>
                <w:rFonts w:hint="eastAsia" w:ascii="宋体" w:hAnsi="宋体" w:cs="宋体"/>
                <w:szCs w:val="21"/>
                <w:lang w:bidi="ar"/>
              </w:rPr>
              <w:t>或</w:t>
            </w:r>
            <w:r>
              <w:rPr>
                <w:rFonts w:hint="eastAsia" w:ascii="宋体" w:hAnsi="宋体" w:cs="宋体"/>
                <w:szCs w:val="21"/>
                <w:lang w:eastAsia="zh-CN" w:bidi="ar"/>
              </w:rPr>
              <w:t>相当于</w:t>
            </w:r>
            <w:r>
              <w:rPr>
                <w:rFonts w:hint="eastAsia" w:ascii="宋体" w:hAnsi="宋体" w:cs="宋体"/>
                <w:szCs w:val="21"/>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296949">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2</w:t>
            </w:r>
          </w:p>
        </w:tc>
      </w:tr>
      <w:tr w14:paraId="021E1FF5">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5E17C4">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59</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AD269E">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923978.1027</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8DA4A3">
            <w:pPr>
              <w:widowControl/>
              <w:wordWrap w:val="0"/>
              <w:jc w:val="center"/>
              <w:textAlignment w:val="bottom"/>
              <w:rPr>
                <w:rFonts w:ascii="宋体" w:hAnsi="宋体" w:cs="宋体"/>
                <w:szCs w:val="21"/>
              </w:rPr>
            </w:pPr>
            <w:r>
              <w:rPr>
                <w:rFonts w:hint="eastAsia" w:ascii="宋体" w:hAnsi="宋体" w:cs="宋体"/>
                <w:szCs w:val="21"/>
              </w:rPr>
              <w:t>更换倾斜油缸修理包</w:t>
            </w:r>
          </w:p>
          <w:p w14:paraId="142D6294">
            <w:pPr>
              <w:widowControl/>
              <w:wordWrap w:val="0"/>
              <w:jc w:val="center"/>
              <w:textAlignment w:val="bottom"/>
              <w:rPr>
                <w:rFonts w:ascii="宋体" w:hAnsi="宋体" w:cs="宋体"/>
                <w:snapToGrid w:val="0"/>
                <w:kern w:val="0"/>
                <w:szCs w:val="21"/>
              </w:rPr>
            </w:pPr>
            <w:r>
              <w:rPr>
                <w:rFonts w:hint="eastAsia" w:ascii="宋体" w:hAnsi="宋体" w:cs="宋体"/>
                <w:szCs w:val="21"/>
              </w:rPr>
              <w:t>▲（推荐进口品牌：NOK、HALLITE、FAG</w:t>
            </w:r>
            <w:r>
              <w:rPr>
                <w:rFonts w:hint="eastAsia" w:ascii="宋体" w:hAnsi="宋体" w:cs="宋体"/>
                <w:szCs w:val="21"/>
                <w:lang w:bidi="ar"/>
              </w:rPr>
              <w:t>或</w:t>
            </w:r>
            <w:r>
              <w:rPr>
                <w:rFonts w:hint="eastAsia" w:ascii="宋体" w:hAnsi="宋体" w:cs="宋体"/>
                <w:szCs w:val="21"/>
                <w:lang w:eastAsia="zh-CN" w:bidi="ar"/>
              </w:rPr>
              <w:t>相当于</w:t>
            </w:r>
            <w:r>
              <w:rPr>
                <w:rFonts w:hint="eastAsia" w:ascii="宋体" w:hAnsi="宋体" w:cs="宋体"/>
                <w:szCs w:val="21"/>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B728C3">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2</w:t>
            </w:r>
          </w:p>
        </w:tc>
      </w:tr>
      <w:tr w14:paraId="2B02D4EB">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D99B4B">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60</w:t>
            </w:r>
          </w:p>
        </w:tc>
        <w:tc>
          <w:tcPr>
            <w:tcW w:w="15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A9799F">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N00163.1700</w:t>
            </w:r>
          </w:p>
        </w:tc>
        <w:tc>
          <w:tcPr>
            <w:tcW w:w="51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91FF2D">
            <w:pPr>
              <w:widowControl/>
              <w:wordWrap w:val="0"/>
              <w:jc w:val="center"/>
              <w:textAlignment w:val="bottom"/>
              <w:rPr>
                <w:rFonts w:ascii="宋体" w:hAnsi="宋体" w:cs="宋体"/>
                <w:szCs w:val="21"/>
              </w:rPr>
            </w:pPr>
            <w:r>
              <w:rPr>
                <w:rFonts w:hint="eastAsia" w:ascii="宋体" w:hAnsi="宋体" w:cs="宋体"/>
                <w:szCs w:val="21"/>
              </w:rPr>
              <w:t>更转向油缸修理包</w:t>
            </w:r>
          </w:p>
          <w:p w14:paraId="27E70DE0">
            <w:pPr>
              <w:widowControl/>
              <w:wordWrap w:val="0"/>
              <w:jc w:val="center"/>
              <w:textAlignment w:val="bottom"/>
              <w:rPr>
                <w:rFonts w:ascii="宋体" w:hAnsi="宋体" w:cs="宋体"/>
                <w:snapToGrid w:val="0"/>
                <w:kern w:val="0"/>
                <w:szCs w:val="21"/>
              </w:rPr>
            </w:pPr>
            <w:r>
              <w:rPr>
                <w:rFonts w:hint="eastAsia" w:ascii="宋体" w:hAnsi="宋体" w:cs="宋体"/>
                <w:szCs w:val="21"/>
              </w:rPr>
              <w:t>▲（推荐进口品牌：NOK、HALLITE、FAG</w:t>
            </w:r>
            <w:r>
              <w:rPr>
                <w:rFonts w:hint="eastAsia" w:ascii="宋体" w:hAnsi="宋体" w:cs="宋体"/>
                <w:szCs w:val="21"/>
                <w:lang w:bidi="ar"/>
              </w:rPr>
              <w:t>或</w:t>
            </w:r>
            <w:r>
              <w:rPr>
                <w:rFonts w:hint="eastAsia" w:ascii="宋体" w:hAnsi="宋体" w:cs="宋体"/>
                <w:szCs w:val="21"/>
                <w:lang w:eastAsia="zh-CN" w:bidi="ar"/>
              </w:rPr>
              <w:t>相当于</w:t>
            </w:r>
            <w:r>
              <w:rPr>
                <w:rFonts w:hint="eastAsia" w:ascii="宋体" w:hAnsi="宋体" w:cs="宋体"/>
                <w:szCs w:val="21"/>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7CA566">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r>
      <w:tr w14:paraId="126FCDCD">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270F05">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61</w:t>
            </w:r>
          </w:p>
        </w:tc>
        <w:tc>
          <w:tcPr>
            <w:tcW w:w="150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A230AAE">
            <w:pPr>
              <w:jc w:val="center"/>
              <w:rPr>
                <w:rFonts w:ascii="宋体" w:hAnsi="宋体" w:cs="宋体"/>
                <w:color w:val="000000"/>
                <w:szCs w:val="21"/>
              </w:rPr>
            </w:pPr>
            <w:r>
              <w:rPr>
                <w:rFonts w:hint="eastAsia" w:ascii="宋体" w:hAnsi="宋体" w:cs="宋体"/>
                <w:color w:val="000000"/>
                <w:szCs w:val="21"/>
              </w:rPr>
              <w:t>/</w:t>
            </w:r>
          </w:p>
        </w:tc>
        <w:tc>
          <w:tcPr>
            <w:tcW w:w="51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4BCD45">
            <w:pPr>
              <w:jc w:val="center"/>
              <w:rPr>
                <w:rFonts w:ascii="宋体" w:hAnsi="宋体" w:cs="宋体"/>
                <w:color w:val="000000"/>
                <w:szCs w:val="21"/>
              </w:rPr>
            </w:pPr>
            <w:r>
              <w:rPr>
                <w:rFonts w:hint="eastAsia" w:ascii="宋体" w:hAnsi="宋体" w:cs="宋体"/>
                <w:snapToGrid w:val="0"/>
                <w:szCs w:val="21"/>
                <w:lang w:eastAsia="zh-CN"/>
              </w:rPr>
              <w:t>发动机升级改造</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0188FC6">
            <w:pPr>
              <w:jc w:val="center"/>
              <w:rPr>
                <w:rFonts w:ascii="宋体" w:hAnsi="宋体" w:cs="宋体"/>
                <w:color w:val="000000"/>
                <w:szCs w:val="21"/>
              </w:rPr>
            </w:pPr>
            <w:r>
              <w:rPr>
                <w:rFonts w:hint="eastAsia" w:ascii="宋体" w:hAnsi="宋体" w:cs="宋体"/>
                <w:color w:val="000000"/>
                <w:szCs w:val="21"/>
              </w:rPr>
              <w:t>1</w:t>
            </w:r>
          </w:p>
        </w:tc>
      </w:tr>
      <w:tr w14:paraId="327AC8F0">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D23657">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62</w:t>
            </w:r>
          </w:p>
        </w:tc>
        <w:tc>
          <w:tcPr>
            <w:tcW w:w="150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473021A">
            <w:pPr>
              <w:jc w:val="center"/>
              <w:rPr>
                <w:rFonts w:ascii="宋体" w:hAnsi="宋体" w:cs="宋体"/>
                <w:color w:val="000000"/>
                <w:szCs w:val="21"/>
              </w:rPr>
            </w:pPr>
            <w:r>
              <w:rPr>
                <w:rFonts w:hint="eastAsia" w:ascii="宋体" w:hAnsi="宋体" w:cs="宋体"/>
                <w:color w:val="000000"/>
                <w:szCs w:val="21"/>
              </w:rPr>
              <w:t>/</w:t>
            </w:r>
          </w:p>
        </w:tc>
        <w:tc>
          <w:tcPr>
            <w:tcW w:w="51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36754F">
            <w:pPr>
              <w:jc w:val="center"/>
              <w:rPr>
                <w:rFonts w:ascii="宋体" w:hAnsi="宋体" w:cs="宋体"/>
                <w:color w:val="000000"/>
                <w:szCs w:val="21"/>
              </w:rPr>
            </w:pPr>
            <w:r>
              <w:rPr>
                <w:rFonts w:hint="eastAsia" w:ascii="宋体" w:hAnsi="宋体" w:cs="宋体"/>
                <w:snapToGrid w:val="0"/>
                <w:szCs w:val="21"/>
              </w:rPr>
              <w:t>发动机相关附件改造（含材料）</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024925E">
            <w:pPr>
              <w:jc w:val="center"/>
              <w:rPr>
                <w:rFonts w:ascii="宋体" w:hAnsi="宋体" w:cs="宋体"/>
                <w:color w:val="000000"/>
                <w:szCs w:val="21"/>
              </w:rPr>
            </w:pPr>
            <w:r>
              <w:rPr>
                <w:rFonts w:hint="eastAsia" w:ascii="宋体" w:hAnsi="宋体" w:cs="宋体"/>
                <w:color w:val="000000"/>
                <w:szCs w:val="21"/>
              </w:rPr>
              <w:t>1</w:t>
            </w:r>
          </w:p>
        </w:tc>
      </w:tr>
      <w:tr w14:paraId="0CC15480">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69BAC4">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63</w:t>
            </w:r>
          </w:p>
        </w:tc>
        <w:tc>
          <w:tcPr>
            <w:tcW w:w="150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31E03A9">
            <w:pPr>
              <w:jc w:val="center"/>
              <w:rPr>
                <w:rFonts w:ascii="宋体" w:hAnsi="宋体" w:cs="宋体"/>
                <w:color w:val="000000"/>
                <w:szCs w:val="21"/>
              </w:rPr>
            </w:pPr>
            <w:r>
              <w:rPr>
                <w:rFonts w:hint="eastAsia" w:ascii="宋体" w:hAnsi="宋体" w:cs="宋体"/>
                <w:color w:val="000000"/>
                <w:szCs w:val="21"/>
              </w:rPr>
              <w:t>/</w:t>
            </w:r>
          </w:p>
        </w:tc>
        <w:tc>
          <w:tcPr>
            <w:tcW w:w="51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F8199C">
            <w:pPr>
              <w:jc w:val="center"/>
              <w:rPr>
                <w:rFonts w:ascii="宋体" w:hAnsi="宋体" w:cs="宋体"/>
                <w:color w:val="000000"/>
                <w:szCs w:val="21"/>
              </w:rPr>
            </w:pPr>
            <w:r>
              <w:rPr>
                <w:rFonts w:hint="eastAsia" w:ascii="宋体" w:hAnsi="宋体" w:cs="宋体"/>
                <w:szCs w:val="21"/>
              </w:rPr>
              <w:t>尿素罐固定装置的设置改造</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0140498">
            <w:pPr>
              <w:jc w:val="center"/>
              <w:rPr>
                <w:rFonts w:ascii="宋体" w:hAnsi="宋体" w:cs="宋体"/>
                <w:color w:val="000000"/>
                <w:szCs w:val="21"/>
              </w:rPr>
            </w:pPr>
            <w:r>
              <w:rPr>
                <w:rFonts w:hint="eastAsia" w:ascii="宋体" w:hAnsi="宋体" w:cs="宋体"/>
                <w:color w:val="000000"/>
                <w:szCs w:val="21"/>
              </w:rPr>
              <w:t>1</w:t>
            </w:r>
          </w:p>
        </w:tc>
      </w:tr>
      <w:tr w14:paraId="7E13CF69">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379318">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64</w:t>
            </w:r>
          </w:p>
        </w:tc>
        <w:tc>
          <w:tcPr>
            <w:tcW w:w="150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F8823BC">
            <w:pPr>
              <w:jc w:val="center"/>
              <w:rPr>
                <w:rFonts w:ascii="宋体" w:hAnsi="宋体" w:cs="宋体"/>
                <w:color w:val="000000"/>
                <w:szCs w:val="21"/>
              </w:rPr>
            </w:pPr>
            <w:r>
              <w:rPr>
                <w:rFonts w:hint="eastAsia" w:ascii="宋体" w:hAnsi="宋体" w:cs="宋体"/>
                <w:color w:val="000000"/>
                <w:szCs w:val="21"/>
              </w:rPr>
              <w:t>/</w:t>
            </w:r>
          </w:p>
        </w:tc>
        <w:tc>
          <w:tcPr>
            <w:tcW w:w="51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40E560">
            <w:pPr>
              <w:jc w:val="center"/>
              <w:rPr>
                <w:rFonts w:ascii="宋体" w:hAnsi="宋体" w:cs="宋体"/>
                <w:color w:val="000000"/>
                <w:szCs w:val="21"/>
              </w:rPr>
            </w:pPr>
            <w:r>
              <w:rPr>
                <w:rFonts w:hint="eastAsia" w:ascii="宋体" w:hAnsi="宋体" w:cs="宋体"/>
                <w:szCs w:val="21"/>
              </w:rPr>
              <w:t>控制系统的改造</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39AAF83">
            <w:pPr>
              <w:jc w:val="center"/>
              <w:rPr>
                <w:rFonts w:ascii="宋体" w:hAnsi="宋体" w:cs="宋体"/>
                <w:color w:val="000000"/>
                <w:szCs w:val="21"/>
              </w:rPr>
            </w:pPr>
            <w:r>
              <w:rPr>
                <w:rFonts w:hint="eastAsia" w:ascii="宋体" w:hAnsi="宋体" w:cs="宋体"/>
                <w:color w:val="000000"/>
                <w:szCs w:val="21"/>
              </w:rPr>
              <w:t>1</w:t>
            </w:r>
          </w:p>
        </w:tc>
      </w:tr>
      <w:tr w14:paraId="376F538B">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A57EFA">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65</w:t>
            </w:r>
          </w:p>
        </w:tc>
        <w:tc>
          <w:tcPr>
            <w:tcW w:w="150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C54B6D6">
            <w:pPr>
              <w:jc w:val="center"/>
              <w:rPr>
                <w:rFonts w:ascii="宋体" w:hAnsi="宋体" w:cs="宋体"/>
                <w:color w:val="000000"/>
                <w:szCs w:val="21"/>
              </w:rPr>
            </w:pPr>
            <w:r>
              <w:rPr>
                <w:rFonts w:hint="eastAsia" w:ascii="宋体" w:hAnsi="宋体" w:cs="宋体"/>
                <w:color w:val="000000"/>
                <w:szCs w:val="21"/>
              </w:rPr>
              <w:t>/</w:t>
            </w:r>
          </w:p>
        </w:tc>
        <w:tc>
          <w:tcPr>
            <w:tcW w:w="51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D3C4DF">
            <w:pPr>
              <w:jc w:val="center"/>
              <w:rPr>
                <w:rFonts w:ascii="宋体" w:hAnsi="宋体" w:cs="宋体"/>
                <w:szCs w:val="21"/>
              </w:rPr>
            </w:pPr>
            <w:r>
              <w:rPr>
                <w:rFonts w:hint="eastAsia"/>
              </w:rPr>
              <w:t>项目维修改造完成后中标人须</w:t>
            </w:r>
            <w:r>
              <w:rPr>
                <w:rFonts w:hint="eastAsia" w:ascii="宋体" w:hAnsi="宋体" w:cs="宋体"/>
                <w:szCs w:val="21"/>
              </w:rPr>
              <w:t>随车提供发动机保养耗材（包括材滤、机滤、空滤等所有材料）</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DDA2E8D">
            <w:pPr>
              <w:jc w:val="center"/>
              <w:rPr>
                <w:rFonts w:ascii="宋体" w:hAnsi="宋体" w:cs="宋体"/>
                <w:color w:val="000000"/>
                <w:szCs w:val="21"/>
              </w:rPr>
            </w:pPr>
            <w:r>
              <w:rPr>
                <w:rFonts w:hint="eastAsia" w:ascii="宋体" w:hAnsi="宋体" w:cs="宋体"/>
                <w:color w:val="000000"/>
                <w:szCs w:val="21"/>
              </w:rPr>
              <w:t>3</w:t>
            </w:r>
          </w:p>
        </w:tc>
      </w:tr>
      <w:tr w14:paraId="604F8B49">
        <w:tblPrEx>
          <w:tblCellMar>
            <w:top w:w="0" w:type="dxa"/>
            <w:left w:w="0" w:type="dxa"/>
            <w:bottom w:w="0" w:type="dxa"/>
            <w:right w:w="0" w:type="dxa"/>
          </w:tblCellMar>
        </w:tblPrEx>
        <w:trPr>
          <w:trHeight w:val="454" w:hRule="atLeast"/>
          <w:jc w:val="center"/>
        </w:trPr>
        <w:tc>
          <w:tcPr>
            <w:tcW w:w="5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3702FC">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66</w:t>
            </w:r>
          </w:p>
        </w:tc>
        <w:tc>
          <w:tcPr>
            <w:tcW w:w="150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D3E2EC2">
            <w:pPr>
              <w:jc w:val="center"/>
              <w:rPr>
                <w:rFonts w:ascii="宋体" w:hAnsi="宋体" w:cs="宋体"/>
                <w:color w:val="000000"/>
                <w:szCs w:val="21"/>
              </w:rPr>
            </w:pPr>
            <w:r>
              <w:rPr>
                <w:rFonts w:hint="eastAsia" w:ascii="宋体" w:hAnsi="宋体" w:cs="宋体"/>
                <w:szCs w:val="21"/>
              </w:rPr>
              <w:t>/</w:t>
            </w:r>
          </w:p>
        </w:tc>
        <w:tc>
          <w:tcPr>
            <w:tcW w:w="51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C78BFB">
            <w:pPr>
              <w:jc w:val="center"/>
              <w:rPr>
                <w:rFonts w:ascii="宋体" w:hAnsi="宋体" w:cs="宋体"/>
                <w:szCs w:val="21"/>
              </w:rPr>
            </w:pPr>
            <w:r>
              <w:rPr>
                <w:rFonts w:hint="eastAsia" w:ascii="宋体" w:hAnsi="宋体" w:cs="宋体"/>
                <w:szCs w:val="21"/>
              </w:rPr>
              <w:t>整车要求配备车辆智能消防系统。机舱发生自燃时，有声、光报警，机器能自动停止运转自动/手动启动灭火功能。消防系统可手动、自动可自由切换，报警温度为 180 摄氏度，主电源切断后仍可以实现自动或手动灭火；灭火介质稳定可靠，适应-50—60 摄氏度常压储存，具有冷却、无腐蚀、防止复燃性能，系统寿命 5 年以上。</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9C7DC67">
            <w:pPr>
              <w:jc w:val="center"/>
              <w:rPr>
                <w:rFonts w:ascii="宋体" w:hAnsi="宋体" w:cs="宋体"/>
                <w:color w:val="000000"/>
                <w:szCs w:val="21"/>
              </w:rPr>
            </w:pPr>
            <w:r>
              <w:rPr>
                <w:rFonts w:hint="eastAsia" w:ascii="宋体" w:hAnsi="宋体" w:cs="宋体"/>
                <w:color w:val="000000"/>
                <w:szCs w:val="21"/>
              </w:rPr>
              <w:t>1</w:t>
            </w:r>
          </w:p>
        </w:tc>
      </w:tr>
    </w:tbl>
    <w:p w14:paraId="6C3FE7B3">
      <w:pPr>
        <w:snapToGrid w:val="0"/>
        <w:spacing w:line="400" w:lineRule="exact"/>
        <w:ind w:right="-82" w:firstLine="420" w:firstLineChars="200"/>
        <w:rPr>
          <w:lang w:val="zh-CN"/>
        </w:rPr>
      </w:pPr>
    </w:p>
    <w:p w14:paraId="43AC779B">
      <w:pPr>
        <w:snapToGrid w:val="0"/>
        <w:spacing w:line="400" w:lineRule="exact"/>
        <w:ind w:right="-82" w:firstLine="420" w:firstLineChars="200"/>
        <w:rPr>
          <w:lang w:val="zh-CN"/>
        </w:rPr>
      </w:pPr>
    </w:p>
    <w:p w14:paraId="4370158E">
      <w:pPr>
        <w:snapToGrid w:val="0"/>
        <w:spacing w:line="400" w:lineRule="exact"/>
        <w:ind w:right="-82" w:firstLine="420" w:firstLineChars="200"/>
        <w:rPr>
          <w:lang w:val="zh-CN"/>
        </w:rPr>
      </w:pPr>
    </w:p>
    <w:p w14:paraId="6B5430AE">
      <w:bookmarkStart w:id="7" w:name="_Toc50128378"/>
      <w:r>
        <w:rPr>
          <w:rFonts w:hint="eastAsia"/>
        </w:rPr>
        <w:br w:type="page"/>
      </w:r>
    </w:p>
    <w:p w14:paraId="2D1B2A87">
      <w:pPr>
        <w:pStyle w:val="21"/>
        <w:outlineLvl w:val="0"/>
      </w:pPr>
      <w:bookmarkStart w:id="8" w:name="_Toc10127"/>
      <w:r>
        <w:rPr>
          <w:rFonts w:hint="eastAsia"/>
        </w:rPr>
        <w:t>第三章投标人须知</w:t>
      </w:r>
      <w:r>
        <w:t>前附表</w:t>
      </w:r>
      <w:bookmarkEnd w:id="7"/>
      <w:bookmarkEnd w:id="8"/>
    </w:p>
    <w:tbl>
      <w:tblPr>
        <w:tblStyle w:val="28"/>
        <w:tblW w:w="999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15"/>
        <w:gridCol w:w="8878"/>
      </w:tblGrid>
      <w:tr w14:paraId="0639AE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21C5F88F">
            <w:pPr>
              <w:adjustRightInd w:val="0"/>
              <w:snapToGrid w:val="0"/>
              <w:spacing w:line="400" w:lineRule="exact"/>
              <w:jc w:val="center"/>
              <w:rPr>
                <w:rFonts w:ascii="宋体" w:hAnsi="宋体" w:cs="宋体"/>
                <w:b/>
                <w:bCs/>
                <w:szCs w:val="21"/>
              </w:rPr>
            </w:pPr>
            <w:r>
              <w:rPr>
                <w:rFonts w:hint="eastAsia" w:ascii="宋体" w:hAnsi="宋体" w:cs="宋体"/>
                <w:b/>
                <w:bCs/>
                <w:szCs w:val="21"/>
              </w:rPr>
              <w:t>序号</w:t>
            </w:r>
          </w:p>
        </w:tc>
        <w:tc>
          <w:tcPr>
            <w:tcW w:w="8878" w:type="dxa"/>
            <w:tcBorders>
              <w:top w:val="single" w:color="auto" w:sz="4" w:space="0"/>
              <w:left w:val="single" w:color="auto" w:sz="4" w:space="0"/>
              <w:bottom w:val="single" w:color="auto" w:sz="4" w:space="0"/>
              <w:right w:val="single" w:color="auto" w:sz="4" w:space="0"/>
            </w:tcBorders>
            <w:vAlign w:val="center"/>
          </w:tcPr>
          <w:p w14:paraId="1956028B">
            <w:pPr>
              <w:adjustRightInd w:val="0"/>
              <w:snapToGrid w:val="0"/>
              <w:spacing w:line="400" w:lineRule="exact"/>
              <w:jc w:val="center"/>
              <w:rPr>
                <w:rFonts w:ascii="宋体" w:hAnsi="宋体" w:cs="宋体"/>
                <w:b/>
                <w:bCs/>
                <w:szCs w:val="21"/>
              </w:rPr>
            </w:pPr>
            <w:r>
              <w:rPr>
                <w:rFonts w:hint="eastAsia" w:ascii="宋体" w:hAnsi="宋体" w:cs="宋体"/>
                <w:b/>
                <w:bCs/>
                <w:szCs w:val="21"/>
              </w:rPr>
              <w:t>内容、要求</w:t>
            </w:r>
          </w:p>
        </w:tc>
      </w:tr>
      <w:tr w14:paraId="6FA24B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3B360504">
            <w:pPr>
              <w:adjustRightInd w:val="0"/>
              <w:snapToGrid w:val="0"/>
              <w:spacing w:line="400" w:lineRule="exact"/>
              <w:ind w:firstLine="420" w:firstLineChars="200"/>
              <w:rPr>
                <w:rFonts w:ascii="宋体" w:hAnsi="宋体" w:cs="宋体"/>
                <w:szCs w:val="21"/>
              </w:rPr>
            </w:pPr>
            <w:r>
              <w:rPr>
                <w:rFonts w:hint="eastAsia" w:ascii="宋体" w:hAnsi="宋体" w:cs="宋体"/>
                <w:szCs w:val="21"/>
              </w:rPr>
              <w:t>1</w:t>
            </w:r>
          </w:p>
        </w:tc>
        <w:tc>
          <w:tcPr>
            <w:tcW w:w="8878" w:type="dxa"/>
            <w:tcBorders>
              <w:top w:val="single" w:color="auto" w:sz="4" w:space="0"/>
              <w:left w:val="single" w:color="auto" w:sz="4" w:space="0"/>
              <w:bottom w:val="single" w:color="auto" w:sz="4" w:space="0"/>
              <w:right w:val="single" w:color="auto" w:sz="4" w:space="0"/>
            </w:tcBorders>
            <w:vAlign w:val="center"/>
          </w:tcPr>
          <w:p w14:paraId="2C217521">
            <w:pPr>
              <w:adjustRightInd w:val="0"/>
              <w:snapToGrid w:val="0"/>
              <w:spacing w:line="400" w:lineRule="exact"/>
              <w:rPr>
                <w:rFonts w:ascii="宋体" w:hAnsi="宋体" w:cs="宋体"/>
                <w:szCs w:val="21"/>
              </w:rPr>
            </w:pPr>
            <w:r>
              <w:rPr>
                <w:rFonts w:hint="eastAsia" w:ascii="宋体" w:hAnsi="宋体" w:cs="宋体"/>
                <w:szCs w:val="21"/>
              </w:rPr>
              <w:t>项目名称：</w:t>
            </w:r>
            <w:r>
              <w:rPr>
                <w:rFonts w:hint="eastAsia" w:ascii="宋体" w:hAnsi="宋体"/>
                <w:color w:val="000000"/>
                <w:sz w:val="22"/>
                <w:szCs w:val="22"/>
              </w:rPr>
              <w:t>温州金洋集装箱码头有限公司25吨叉车维修</w:t>
            </w:r>
          </w:p>
        </w:tc>
      </w:tr>
      <w:tr w14:paraId="13FA81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22366711">
            <w:pPr>
              <w:adjustRightInd w:val="0"/>
              <w:snapToGrid w:val="0"/>
              <w:spacing w:line="400" w:lineRule="exact"/>
              <w:ind w:firstLine="420" w:firstLineChars="200"/>
              <w:rPr>
                <w:rFonts w:ascii="宋体" w:hAnsi="宋体" w:cs="宋体"/>
                <w:szCs w:val="21"/>
              </w:rPr>
            </w:pPr>
            <w:r>
              <w:rPr>
                <w:rFonts w:hint="eastAsia" w:ascii="宋体" w:hAnsi="宋体" w:cs="宋体"/>
                <w:szCs w:val="21"/>
              </w:rPr>
              <w:t>2</w:t>
            </w:r>
          </w:p>
        </w:tc>
        <w:tc>
          <w:tcPr>
            <w:tcW w:w="8878" w:type="dxa"/>
            <w:tcBorders>
              <w:top w:val="single" w:color="auto" w:sz="4" w:space="0"/>
              <w:left w:val="single" w:color="auto" w:sz="4" w:space="0"/>
              <w:bottom w:val="single" w:color="auto" w:sz="4" w:space="0"/>
              <w:right w:val="single" w:color="auto" w:sz="4" w:space="0"/>
            </w:tcBorders>
            <w:vAlign w:val="center"/>
          </w:tcPr>
          <w:p w14:paraId="113473DA">
            <w:pPr>
              <w:adjustRightInd w:val="0"/>
              <w:snapToGrid w:val="0"/>
              <w:spacing w:line="400" w:lineRule="exact"/>
              <w:rPr>
                <w:rFonts w:ascii="宋体" w:hAnsi="宋体" w:cs="宋体"/>
                <w:szCs w:val="21"/>
              </w:rPr>
            </w:pPr>
            <w:r>
              <w:rPr>
                <w:rFonts w:hint="eastAsia" w:ascii="宋体" w:hAnsi="宋体" w:cs="宋体"/>
                <w:szCs w:val="21"/>
              </w:rPr>
              <w:t>采购内容：见招标公告。</w:t>
            </w:r>
          </w:p>
        </w:tc>
      </w:tr>
      <w:tr w14:paraId="77E33C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29"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174D43EE">
            <w:pPr>
              <w:adjustRightInd w:val="0"/>
              <w:snapToGrid w:val="0"/>
              <w:spacing w:line="400" w:lineRule="exact"/>
              <w:jc w:val="center"/>
              <w:rPr>
                <w:rFonts w:ascii="宋体" w:hAnsi="宋体" w:cs="宋体"/>
                <w:szCs w:val="21"/>
              </w:rPr>
            </w:pPr>
            <w:r>
              <w:rPr>
                <w:rFonts w:hint="eastAsia" w:ascii="宋体" w:hAnsi="宋体" w:cs="宋体"/>
                <w:szCs w:val="21"/>
              </w:rPr>
              <w:t>★3</w:t>
            </w:r>
          </w:p>
        </w:tc>
        <w:tc>
          <w:tcPr>
            <w:tcW w:w="8878" w:type="dxa"/>
            <w:tcBorders>
              <w:top w:val="single" w:color="auto" w:sz="4" w:space="0"/>
              <w:left w:val="single" w:color="auto" w:sz="4" w:space="0"/>
              <w:bottom w:val="single" w:color="auto" w:sz="4" w:space="0"/>
              <w:right w:val="single" w:color="auto" w:sz="4" w:space="0"/>
            </w:tcBorders>
            <w:vAlign w:val="center"/>
          </w:tcPr>
          <w:p w14:paraId="145961F9">
            <w:pPr>
              <w:adjustRightInd w:val="0"/>
              <w:snapToGrid w:val="0"/>
              <w:spacing w:line="400" w:lineRule="exact"/>
              <w:rPr>
                <w:rFonts w:ascii="宋体" w:hAnsi="宋体" w:cs="宋体"/>
                <w:szCs w:val="21"/>
              </w:rPr>
            </w:pPr>
            <w:r>
              <w:rPr>
                <w:rFonts w:hint="eastAsia" w:ascii="宋体" w:hAnsi="宋体" w:cs="宋体"/>
                <w:szCs w:val="21"/>
              </w:rPr>
              <w:t>投标报价及费用：</w:t>
            </w:r>
          </w:p>
          <w:p w14:paraId="1AB8878F">
            <w:pPr>
              <w:adjustRightInd w:val="0"/>
              <w:snapToGrid w:val="0"/>
              <w:spacing w:line="400" w:lineRule="exact"/>
              <w:rPr>
                <w:rFonts w:ascii="宋体" w:hAnsi="宋体" w:cs="宋体"/>
                <w:szCs w:val="21"/>
              </w:rPr>
            </w:pPr>
            <w:r>
              <w:rPr>
                <w:rFonts w:hint="eastAsia" w:ascii="宋体" w:hAnsi="宋体" w:cs="宋体"/>
                <w:szCs w:val="21"/>
              </w:rPr>
              <w:t>1、不论投标结果如何，投标人均应自行承担所有与投标有关的全部费用。</w:t>
            </w:r>
          </w:p>
          <w:p w14:paraId="138F7AC7">
            <w:pPr>
              <w:adjustRightInd w:val="0"/>
              <w:snapToGrid w:val="0"/>
              <w:spacing w:line="400" w:lineRule="exact"/>
              <w:rPr>
                <w:rFonts w:ascii="宋体" w:hAnsi="宋体" w:cs="宋体"/>
                <w:szCs w:val="21"/>
              </w:rPr>
            </w:pPr>
            <w:r>
              <w:rPr>
                <w:rFonts w:hint="eastAsia" w:ascii="宋体" w:hAnsi="宋体" w:cs="宋体"/>
                <w:szCs w:val="21"/>
              </w:rPr>
              <w:t>2、本项目最高限价：人民币</w:t>
            </w:r>
            <w:r>
              <w:rPr>
                <w:rFonts w:hint="eastAsia" w:ascii="宋体" w:hAnsi="宋体" w:cs="宋体"/>
                <w:szCs w:val="21"/>
                <w:highlight w:val="yellow"/>
                <w:lang w:eastAsia="zh-CN"/>
              </w:rPr>
              <w:t>66.4</w:t>
            </w:r>
            <w:r>
              <w:rPr>
                <w:rFonts w:hint="eastAsia" w:ascii="宋体" w:hAnsi="宋体" w:cs="宋体"/>
                <w:szCs w:val="21"/>
                <w:highlight w:val="yellow"/>
              </w:rPr>
              <w:t>万元（含税）</w:t>
            </w:r>
            <w:r>
              <w:rPr>
                <w:rFonts w:hint="eastAsia" w:ascii="宋体" w:hAnsi="宋体" w:cs="宋体"/>
                <w:szCs w:val="21"/>
              </w:rPr>
              <w:t>。投标人的投标报价不得超过最高限价，否则作否决投标处理。</w:t>
            </w:r>
          </w:p>
          <w:p w14:paraId="1516741F">
            <w:pPr>
              <w:adjustRightInd w:val="0"/>
              <w:snapToGrid w:val="0"/>
              <w:spacing w:line="400" w:lineRule="exact"/>
              <w:rPr>
                <w:rFonts w:ascii="宋体" w:hAnsi="宋体" w:cs="宋体"/>
                <w:szCs w:val="21"/>
              </w:rPr>
            </w:pPr>
            <w:r>
              <w:rPr>
                <w:rFonts w:hint="eastAsia" w:ascii="宋体" w:hAnsi="宋体" w:cs="宋体"/>
                <w:szCs w:val="21"/>
              </w:rPr>
              <w:t>3、本项目为交钥匙工程，本次报价是包含招标文件规定的完成本项目所需的供货、包装、设备来回运输、仓储、装卸、</w:t>
            </w:r>
            <w:r>
              <w:rPr>
                <w:rFonts w:hint="eastAsia" w:ascii="宋体" w:hAnsi="宋体" w:cs="宋体"/>
                <w:szCs w:val="21"/>
                <w:lang w:eastAsia="zh-CN"/>
              </w:rPr>
              <w:t>拆除、安装、调试、浙江省特种设备科学研究院检测费用、</w:t>
            </w:r>
            <w:r>
              <w:rPr>
                <w:rFonts w:hint="eastAsia" w:ascii="宋体" w:hAnsi="宋体" w:cs="宋体"/>
                <w:szCs w:val="21"/>
              </w:rPr>
              <w:t>验收、售后服务、人工、保险、交通费、13%增值税税金、及涉及的辅材等全部工作的总费用（含平台交易服务费）。实行固定费用总价包干。该维修费用已涵盖履行过程中一切风险（包括但不限于材料、人工价格上涨，发生安全事故造成的损害赔偿）。</w:t>
            </w:r>
          </w:p>
        </w:tc>
      </w:tr>
      <w:tr w14:paraId="20E75A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0"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790AF95E">
            <w:pPr>
              <w:adjustRightInd w:val="0"/>
              <w:snapToGrid w:val="0"/>
              <w:spacing w:line="400" w:lineRule="exact"/>
              <w:jc w:val="center"/>
              <w:rPr>
                <w:rFonts w:ascii="宋体" w:hAnsi="宋体" w:cs="宋体"/>
                <w:szCs w:val="21"/>
              </w:rPr>
            </w:pPr>
            <w:r>
              <w:rPr>
                <w:rFonts w:hint="eastAsia" w:ascii="宋体" w:hAnsi="宋体" w:cs="宋体"/>
                <w:szCs w:val="21"/>
              </w:rPr>
              <w:t>★4</w:t>
            </w:r>
          </w:p>
        </w:tc>
        <w:tc>
          <w:tcPr>
            <w:tcW w:w="8878" w:type="dxa"/>
            <w:tcBorders>
              <w:top w:val="single" w:color="auto" w:sz="4" w:space="0"/>
              <w:left w:val="single" w:color="auto" w:sz="4" w:space="0"/>
              <w:bottom w:val="single" w:color="auto" w:sz="4" w:space="0"/>
              <w:right w:val="single" w:color="auto" w:sz="4" w:space="0"/>
            </w:tcBorders>
            <w:vAlign w:val="center"/>
          </w:tcPr>
          <w:p w14:paraId="5FD8FC83">
            <w:pPr>
              <w:adjustRightInd w:val="0"/>
              <w:snapToGrid w:val="0"/>
              <w:spacing w:line="400" w:lineRule="exact"/>
              <w:rPr>
                <w:rFonts w:ascii="宋体" w:hAnsi="宋体" w:cs="宋体"/>
                <w:szCs w:val="21"/>
              </w:rPr>
            </w:pPr>
            <w:r>
              <w:rPr>
                <w:rFonts w:hint="eastAsia" w:ascii="宋体" w:hAnsi="宋体" w:cs="宋体"/>
                <w:szCs w:val="21"/>
              </w:rPr>
              <w:t>投标保证金：详见招标公告</w:t>
            </w:r>
          </w:p>
        </w:tc>
      </w:tr>
      <w:tr w14:paraId="190758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46"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1D5A8234">
            <w:pPr>
              <w:adjustRightInd w:val="0"/>
              <w:snapToGrid w:val="0"/>
              <w:spacing w:line="400" w:lineRule="exact"/>
              <w:jc w:val="center"/>
              <w:rPr>
                <w:rFonts w:ascii="宋体" w:hAnsi="宋体" w:cs="宋体"/>
                <w:szCs w:val="21"/>
              </w:rPr>
            </w:pPr>
            <w:r>
              <w:rPr>
                <w:rFonts w:hint="eastAsia" w:ascii="宋体" w:hAnsi="宋体" w:cs="宋体"/>
                <w:szCs w:val="21"/>
              </w:rPr>
              <w:t>5</w:t>
            </w:r>
          </w:p>
        </w:tc>
        <w:tc>
          <w:tcPr>
            <w:tcW w:w="8878" w:type="dxa"/>
            <w:tcBorders>
              <w:top w:val="single" w:color="auto" w:sz="4" w:space="0"/>
              <w:left w:val="single" w:color="auto" w:sz="4" w:space="0"/>
              <w:bottom w:val="single" w:color="auto" w:sz="4" w:space="0"/>
              <w:right w:val="single" w:color="auto" w:sz="4" w:space="0"/>
            </w:tcBorders>
            <w:vAlign w:val="center"/>
          </w:tcPr>
          <w:p w14:paraId="0B5FE9F0">
            <w:pPr>
              <w:adjustRightInd w:val="0"/>
              <w:snapToGrid w:val="0"/>
              <w:spacing w:line="400" w:lineRule="exact"/>
              <w:rPr>
                <w:rFonts w:ascii="宋体" w:hAnsi="宋体" w:cs="宋体"/>
                <w:szCs w:val="21"/>
              </w:rPr>
            </w:pPr>
            <w:r>
              <w:rPr>
                <w:rFonts w:hint="eastAsia" w:ascii="宋体" w:hAnsi="宋体" w:cs="宋体"/>
                <w:szCs w:val="21"/>
              </w:rPr>
              <w:t>答疑与澄清：招标人对已发出的招标文件进行必要的澄清和修改时，将在招标公告规定的投标截止时间10日前，在规定信息发布网站上通知所有招标文件收受人，并要求收受人进行确认澄清和修改已收悉，澄清和修改的内容作为招标文件的组成部分。招标人根据实际情况，延长投标截止时间的，将在投标截止时间前10日内告知所有招标文件收受人，并要求回执确认。</w:t>
            </w:r>
          </w:p>
        </w:tc>
      </w:tr>
      <w:tr w14:paraId="5A7E07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0EEAFBF7">
            <w:pPr>
              <w:adjustRightInd w:val="0"/>
              <w:snapToGrid w:val="0"/>
              <w:spacing w:line="400" w:lineRule="exact"/>
              <w:jc w:val="center"/>
              <w:rPr>
                <w:rFonts w:ascii="宋体" w:hAnsi="宋体" w:cs="宋体"/>
                <w:szCs w:val="21"/>
              </w:rPr>
            </w:pPr>
            <w:r>
              <w:rPr>
                <w:rFonts w:hint="eastAsia" w:ascii="宋体" w:hAnsi="宋体" w:cs="宋体"/>
                <w:szCs w:val="21"/>
              </w:rPr>
              <w:t>6</w:t>
            </w:r>
          </w:p>
        </w:tc>
        <w:tc>
          <w:tcPr>
            <w:tcW w:w="8878" w:type="dxa"/>
            <w:tcBorders>
              <w:top w:val="single" w:color="auto" w:sz="4" w:space="0"/>
              <w:left w:val="single" w:color="auto" w:sz="4" w:space="0"/>
              <w:bottom w:val="single" w:color="auto" w:sz="4" w:space="0"/>
              <w:right w:val="single" w:color="auto" w:sz="4" w:space="0"/>
            </w:tcBorders>
            <w:vAlign w:val="center"/>
          </w:tcPr>
          <w:p w14:paraId="262354BB">
            <w:pPr>
              <w:adjustRightInd w:val="0"/>
              <w:snapToGrid w:val="0"/>
              <w:spacing w:line="400" w:lineRule="exact"/>
              <w:rPr>
                <w:rFonts w:ascii="宋体" w:hAnsi="宋体" w:cs="宋体"/>
                <w:szCs w:val="21"/>
              </w:rPr>
            </w:pPr>
            <w:r>
              <w:rPr>
                <w:rFonts w:hint="eastAsia" w:ascii="宋体" w:hAnsi="宋体" w:cs="宋体"/>
                <w:szCs w:val="21"/>
              </w:rPr>
              <w:t>投标文件组成：价格标、商务技术标、资审文件。</w:t>
            </w:r>
          </w:p>
        </w:tc>
      </w:tr>
      <w:tr w14:paraId="3D221D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27F18956">
            <w:pPr>
              <w:adjustRightInd w:val="0"/>
              <w:snapToGrid w:val="0"/>
              <w:spacing w:line="400" w:lineRule="exact"/>
              <w:jc w:val="center"/>
              <w:rPr>
                <w:rFonts w:ascii="宋体" w:hAnsi="宋体" w:cs="宋体"/>
                <w:szCs w:val="21"/>
              </w:rPr>
            </w:pPr>
            <w:r>
              <w:rPr>
                <w:rFonts w:hint="eastAsia" w:ascii="宋体" w:hAnsi="宋体" w:cs="宋体"/>
                <w:szCs w:val="21"/>
              </w:rPr>
              <w:t>7</w:t>
            </w:r>
          </w:p>
        </w:tc>
        <w:tc>
          <w:tcPr>
            <w:tcW w:w="8878" w:type="dxa"/>
            <w:tcBorders>
              <w:top w:val="single" w:color="auto" w:sz="4" w:space="0"/>
              <w:left w:val="single" w:color="auto" w:sz="4" w:space="0"/>
              <w:bottom w:val="single" w:color="auto" w:sz="4" w:space="0"/>
              <w:right w:val="single" w:color="auto" w:sz="4" w:space="0"/>
            </w:tcBorders>
            <w:vAlign w:val="center"/>
          </w:tcPr>
          <w:p w14:paraId="1462D7A7">
            <w:pPr>
              <w:adjustRightInd w:val="0"/>
              <w:snapToGrid w:val="0"/>
              <w:spacing w:line="400" w:lineRule="exact"/>
              <w:rPr>
                <w:rFonts w:ascii="宋体" w:hAnsi="宋体" w:cs="宋体"/>
                <w:szCs w:val="21"/>
              </w:rPr>
            </w:pPr>
            <w:r>
              <w:rPr>
                <w:rFonts w:hint="eastAsia" w:ascii="宋体" w:hAnsi="宋体" w:cs="宋体"/>
                <w:szCs w:val="21"/>
              </w:rPr>
              <w:t>投标截止时间、地址：详见招标公告。</w:t>
            </w:r>
          </w:p>
        </w:tc>
      </w:tr>
      <w:tr w14:paraId="286E2E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1F9FBDD1">
            <w:pPr>
              <w:adjustRightInd w:val="0"/>
              <w:snapToGrid w:val="0"/>
              <w:spacing w:line="400" w:lineRule="exact"/>
              <w:jc w:val="center"/>
              <w:rPr>
                <w:rFonts w:ascii="宋体" w:hAnsi="宋体" w:cs="宋体"/>
                <w:szCs w:val="21"/>
              </w:rPr>
            </w:pPr>
            <w:r>
              <w:rPr>
                <w:rFonts w:hint="eastAsia" w:ascii="宋体" w:hAnsi="宋体" w:cs="宋体"/>
                <w:szCs w:val="21"/>
              </w:rPr>
              <w:t>8</w:t>
            </w:r>
          </w:p>
        </w:tc>
        <w:tc>
          <w:tcPr>
            <w:tcW w:w="8878" w:type="dxa"/>
            <w:tcBorders>
              <w:top w:val="single" w:color="auto" w:sz="4" w:space="0"/>
              <w:left w:val="single" w:color="auto" w:sz="4" w:space="0"/>
              <w:bottom w:val="single" w:color="auto" w:sz="4" w:space="0"/>
              <w:right w:val="single" w:color="auto" w:sz="4" w:space="0"/>
            </w:tcBorders>
            <w:vAlign w:val="center"/>
          </w:tcPr>
          <w:p w14:paraId="16A9F265">
            <w:pPr>
              <w:adjustRightInd w:val="0"/>
              <w:snapToGrid w:val="0"/>
              <w:spacing w:line="400" w:lineRule="exact"/>
              <w:rPr>
                <w:rFonts w:ascii="宋体" w:hAnsi="宋体" w:cs="宋体"/>
                <w:szCs w:val="21"/>
              </w:rPr>
            </w:pPr>
            <w:r>
              <w:rPr>
                <w:rFonts w:hint="eastAsia" w:ascii="宋体" w:hAnsi="宋体" w:cs="宋体"/>
                <w:szCs w:val="21"/>
              </w:rPr>
              <w:t>开标时间、地址：详见招标公告。</w:t>
            </w:r>
          </w:p>
        </w:tc>
      </w:tr>
      <w:tr w14:paraId="6BAC9B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5F2EAB35">
            <w:pPr>
              <w:adjustRightInd w:val="0"/>
              <w:snapToGrid w:val="0"/>
              <w:spacing w:line="400" w:lineRule="exact"/>
              <w:jc w:val="center"/>
              <w:rPr>
                <w:rFonts w:ascii="宋体" w:hAnsi="宋体" w:cs="宋体"/>
                <w:szCs w:val="21"/>
              </w:rPr>
            </w:pPr>
            <w:r>
              <w:rPr>
                <w:rFonts w:hint="eastAsia" w:ascii="宋体" w:hAnsi="宋体" w:cs="宋体"/>
                <w:szCs w:val="21"/>
              </w:rPr>
              <w:t>9</w:t>
            </w:r>
          </w:p>
        </w:tc>
        <w:tc>
          <w:tcPr>
            <w:tcW w:w="8878" w:type="dxa"/>
            <w:tcBorders>
              <w:top w:val="single" w:color="auto" w:sz="4" w:space="0"/>
              <w:left w:val="single" w:color="auto" w:sz="4" w:space="0"/>
              <w:bottom w:val="single" w:color="auto" w:sz="4" w:space="0"/>
              <w:right w:val="single" w:color="auto" w:sz="4" w:space="0"/>
            </w:tcBorders>
            <w:vAlign w:val="center"/>
          </w:tcPr>
          <w:p w14:paraId="1A62CDE1">
            <w:pPr>
              <w:adjustRightInd w:val="0"/>
              <w:snapToGrid w:val="0"/>
              <w:spacing w:line="400" w:lineRule="exact"/>
              <w:rPr>
                <w:rFonts w:ascii="宋体" w:hAnsi="宋体" w:cs="宋体"/>
                <w:szCs w:val="21"/>
              </w:rPr>
            </w:pPr>
            <w:r>
              <w:rPr>
                <w:rFonts w:hint="eastAsia" w:ascii="宋体" w:hAnsi="宋体" w:cs="宋体"/>
                <w:szCs w:val="21"/>
              </w:rPr>
              <w:t>评标办法及评分标准：详见第四章。</w:t>
            </w:r>
          </w:p>
        </w:tc>
      </w:tr>
      <w:tr w14:paraId="6F0FB3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708CCCB6">
            <w:pPr>
              <w:adjustRightInd w:val="0"/>
              <w:snapToGrid w:val="0"/>
              <w:spacing w:line="400" w:lineRule="exact"/>
              <w:jc w:val="center"/>
              <w:rPr>
                <w:rFonts w:ascii="宋体" w:hAnsi="宋体" w:cs="宋体"/>
                <w:szCs w:val="21"/>
              </w:rPr>
            </w:pPr>
            <w:r>
              <w:rPr>
                <w:rFonts w:hint="eastAsia" w:ascii="宋体" w:hAnsi="宋体" w:cs="宋体"/>
                <w:szCs w:val="21"/>
              </w:rPr>
              <w:t>10</w:t>
            </w:r>
          </w:p>
        </w:tc>
        <w:tc>
          <w:tcPr>
            <w:tcW w:w="8878" w:type="dxa"/>
            <w:tcBorders>
              <w:top w:val="single" w:color="auto" w:sz="4" w:space="0"/>
              <w:left w:val="single" w:color="auto" w:sz="4" w:space="0"/>
              <w:bottom w:val="single" w:color="auto" w:sz="4" w:space="0"/>
              <w:right w:val="single" w:color="auto" w:sz="4" w:space="0"/>
            </w:tcBorders>
            <w:vAlign w:val="center"/>
          </w:tcPr>
          <w:p w14:paraId="0F8F334D">
            <w:pPr>
              <w:adjustRightInd w:val="0"/>
              <w:snapToGrid w:val="0"/>
              <w:spacing w:line="400" w:lineRule="exact"/>
              <w:rPr>
                <w:rFonts w:ascii="宋体" w:hAnsi="宋体" w:cs="宋体"/>
                <w:szCs w:val="21"/>
              </w:rPr>
            </w:pPr>
            <w:r>
              <w:rPr>
                <w:rFonts w:hint="eastAsia" w:ascii="宋体" w:hAnsi="宋体" w:cs="宋体"/>
                <w:szCs w:val="21"/>
              </w:rPr>
              <w:t>发布本次招标公告、中标公示的媒介：浙江省海港集团、宁波舟山港集团电子招标采购平台（http://hgdzzb.nbport.com.cn/）公示3个工作日。</w:t>
            </w:r>
          </w:p>
        </w:tc>
      </w:tr>
      <w:tr w14:paraId="44EC16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06F4E469">
            <w:pPr>
              <w:adjustRightInd w:val="0"/>
              <w:snapToGrid w:val="0"/>
              <w:spacing w:line="400" w:lineRule="exact"/>
              <w:jc w:val="center"/>
              <w:rPr>
                <w:rFonts w:ascii="宋体" w:hAnsi="宋体" w:cs="宋体"/>
                <w:szCs w:val="21"/>
              </w:rPr>
            </w:pPr>
            <w:r>
              <w:rPr>
                <w:rFonts w:hint="eastAsia" w:ascii="宋体" w:hAnsi="宋体" w:cs="宋体"/>
                <w:szCs w:val="21"/>
              </w:rPr>
              <w:t>11</w:t>
            </w:r>
          </w:p>
        </w:tc>
        <w:tc>
          <w:tcPr>
            <w:tcW w:w="8878" w:type="dxa"/>
            <w:tcBorders>
              <w:top w:val="single" w:color="auto" w:sz="4" w:space="0"/>
              <w:left w:val="single" w:color="auto" w:sz="4" w:space="0"/>
              <w:bottom w:val="single" w:color="auto" w:sz="4" w:space="0"/>
              <w:right w:val="single" w:color="auto" w:sz="4" w:space="0"/>
            </w:tcBorders>
            <w:vAlign w:val="center"/>
          </w:tcPr>
          <w:p w14:paraId="1993990C">
            <w:pPr>
              <w:adjustRightInd w:val="0"/>
              <w:snapToGrid w:val="0"/>
              <w:spacing w:line="400" w:lineRule="exact"/>
              <w:rPr>
                <w:rFonts w:ascii="宋体" w:hAnsi="宋体" w:cs="宋体"/>
                <w:szCs w:val="21"/>
              </w:rPr>
            </w:pPr>
            <w:r>
              <w:rPr>
                <w:rFonts w:hint="eastAsia" w:ascii="宋体" w:hAnsi="宋体" w:cs="宋体"/>
                <w:szCs w:val="21"/>
              </w:rPr>
              <w:t>投标保证金退还：除招标文件规定不予退还保证金的情形外。</w:t>
            </w:r>
          </w:p>
          <w:p w14:paraId="49A01D68">
            <w:pPr>
              <w:adjustRightInd w:val="0"/>
              <w:snapToGrid w:val="0"/>
              <w:spacing w:line="400" w:lineRule="exact"/>
              <w:rPr>
                <w:rFonts w:ascii="宋体" w:hAnsi="宋体" w:cs="宋体"/>
                <w:szCs w:val="21"/>
              </w:rPr>
            </w:pPr>
            <w:r>
              <w:rPr>
                <w:rFonts w:hint="eastAsia" w:ascii="宋体" w:hAnsi="宋体" w:cs="宋体"/>
                <w:szCs w:val="21"/>
              </w:rPr>
              <w:t>未中标人的投标保证金将在中标通知书发出后5个工作日内无息退还。</w:t>
            </w:r>
          </w:p>
          <w:p w14:paraId="0088F528">
            <w:pPr>
              <w:adjustRightInd w:val="0"/>
              <w:snapToGrid w:val="0"/>
              <w:spacing w:line="400" w:lineRule="exact"/>
              <w:rPr>
                <w:rFonts w:ascii="宋体" w:hAnsi="宋体" w:cs="宋体"/>
                <w:szCs w:val="21"/>
              </w:rPr>
            </w:pPr>
            <w:r>
              <w:rPr>
                <w:rFonts w:hint="eastAsia" w:ascii="宋体" w:hAnsi="宋体" w:cs="宋体"/>
                <w:szCs w:val="21"/>
              </w:rPr>
              <w:t>中标人应在中标通知书发出后30日内与招标人签订合同，中标人的投标保证金在与招标人签订合同后5个工作日内一次性无息退还给中标人。</w:t>
            </w:r>
          </w:p>
        </w:tc>
      </w:tr>
      <w:tr w14:paraId="4A2EC5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9"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4E7C6A0B">
            <w:pPr>
              <w:adjustRightInd w:val="0"/>
              <w:snapToGrid w:val="0"/>
              <w:spacing w:line="400" w:lineRule="exact"/>
              <w:jc w:val="center"/>
              <w:rPr>
                <w:rFonts w:ascii="宋体" w:hAnsi="宋体" w:cs="宋体"/>
                <w:szCs w:val="21"/>
              </w:rPr>
            </w:pPr>
            <w:r>
              <w:rPr>
                <w:rFonts w:hint="eastAsia" w:ascii="宋体" w:hAnsi="宋体" w:cs="宋体"/>
                <w:szCs w:val="21"/>
              </w:rPr>
              <w:t>12</w:t>
            </w:r>
          </w:p>
        </w:tc>
        <w:tc>
          <w:tcPr>
            <w:tcW w:w="8878" w:type="dxa"/>
            <w:tcBorders>
              <w:top w:val="single" w:color="auto" w:sz="4" w:space="0"/>
              <w:left w:val="single" w:color="auto" w:sz="4" w:space="0"/>
              <w:bottom w:val="single" w:color="auto" w:sz="4" w:space="0"/>
              <w:right w:val="single" w:color="auto" w:sz="4" w:space="0"/>
            </w:tcBorders>
            <w:vAlign w:val="center"/>
          </w:tcPr>
          <w:p w14:paraId="3AED49DC">
            <w:pPr>
              <w:adjustRightInd w:val="0"/>
              <w:snapToGrid w:val="0"/>
              <w:spacing w:line="400" w:lineRule="exact"/>
              <w:rPr>
                <w:rFonts w:ascii="宋体" w:hAnsi="宋体" w:cs="宋体"/>
                <w:szCs w:val="21"/>
              </w:rPr>
            </w:pPr>
            <w:r>
              <w:rPr>
                <w:rFonts w:hint="eastAsia" w:ascii="宋体" w:hAnsi="宋体" w:cs="宋体"/>
                <w:szCs w:val="21"/>
              </w:rPr>
              <w:t>签订合同时间：中标通知书发出后30日内。</w:t>
            </w:r>
          </w:p>
        </w:tc>
      </w:tr>
      <w:tr w14:paraId="3743D7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2F634E3F">
            <w:pPr>
              <w:adjustRightInd w:val="0"/>
              <w:snapToGrid w:val="0"/>
              <w:spacing w:line="400" w:lineRule="exact"/>
              <w:jc w:val="center"/>
              <w:rPr>
                <w:rFonts w:ascii="宋体" w:hAnsi="宋体" w:cs="宋体"/>
                <w:szCs w:val="21"/>
              </w:rPr>
            </w:pPr>
            <w:r>
              <w:rPr>
                <w:rFonts w:hint="eastAsia" w:ascii="宋体" w:hAnsi="宋体" w:cs="宋体"/>
                <w:szCs w:val="21"/>
              </w:rPr>
              <w:t>13</w:t>
            </w:r>
          </w:p>
        </w:tc>
        <w:tc>
          <w:tcPr>
            <w:tcW w:w="8878" w:type="dxa"/>
            <w:tcBorders>
              <w:top w:val="single" w:color="auto" w:sz="4" w:space="0"/>
              <w:left w:val="single" w:color="auto" w:sz="4" w:space="0"/>
              <w:bottom w:val="single" w:color="auto" w:sz="4" w:space="0"/>
              <w:right w:val="single" w:color="auto" w:sz="4" w:space="0"/>
            </w:tcBorders>
            <w:vAlign w:val="center"/>
          </w:tcPr>
          <w:p w14:paraId="405821E0">
            <w:pPr>
              <w:adjustRightInd w:val="0"/>
              <w:snapToGrid w:val="0"/>
              <w:spacing w:line="400" w:lineRule="exact"/>
              <w:rPr>
                <w:rFonts w:ascii="宋体" w:hAnsi="宋体" w:cs="宋体"/>
                <w:szCs w:val="21"/>
              </w:rPr>
            </w:pPr>
            <w:r>
              <w:rPr>
                <w:rFonts w:hint="eastAsia" w:ascii="宋体" w:hAnsi="宋体" w:cs="宋体"/>
                <w:szCs w:val="21"/>
              </w:rPr>
              <w:t>履约保证金的形式：银行转帐</w:t>
            </w:r>
          </w:p>
          <w:p w14:paraId="6F76EA58">
            <w:pPr>
              <w:adjustRightInd w:val="0"/>
              <w:snapToGrid w:val="0"/>
              <w:spacing w:line="400" w:lineRule="exact"/>
              <w:rPr>
                <w:rFonts w:ascii="宋体" w:hAnsi="宋体" w:cs="宋体"/>
                <w:szCs w:val="21"/>
              </w:rPr>
            </w:pPr>
            <w:r>
              <w:rPr>
                <w:rFonts w:hint="eastAsia" w:ascii="宋体" w:hAnsi="宋体" w:cs="宋体"/>
                <w:szCs w:val="21"/>
              </w:rPr>
              <w:t>履约保证金的金额：</w:t>
            </w:r>
            <w:r>
              <w:rPr>
                <w:rFonts w:hint="eastAsia" w:ascii="宋体" w:hAnsi="宋体" w:cs="仿宋_GB2312"/>
                <w:szCs w:val="21"/>
              </w:rPr>
              <w:t>合同价款</w:t>
            </w:r>
            <w:r>
              <w:rPr>
                <w:rFonts w:hint="eastAsia" w:ascii="宋体" w:hAnsi="宋体" w:cs="宋体"/>
                <w:szCs w:val="21"/>
              </w:rPr>
              <w:t>的5%。中标人在合同签订之前须向招标人单位提交履约保证金，并且要保证履约保证金在合同履行期间的有效性。</w:t>
            </w:r>
          </w:p>
          <w:p w14:paraId="63D7E537">
            <w:pPr>
              <w:adjustRightInd w:val="0"/>
              <w:snapToGrid w:val="0"/>
              <w:spacing w:line="400" w:lineRule="exact"/>
              <w:rPr>
                <w:rFonts w:ascii="宋体" w:hAnsi="宋体" w:cs="宋体"/>
                <w:szCs w:val="21"/>
              </w:rPr>
            </w:pPr>
            <w:r>
              <w:rPr>
                <w:rFonts w:hint="eastAsia" w:ascii="宋体" w:hAnsi="宋体" w:cs="宋体"/>
                <w:szCs w:val="21"/>
              </w:rPr>
              <w:t>有效期：在合同约定金额履行完毕或服务期届满后转为质保金。</w:t>
            </w:r>
          </w:p>
        </w:tc>
      </w:tr>
      <w:tr w14:paraId="27937F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2A0F45D5">
            <w:pPr>
              <w:adjustRightInd w:val="0"/>
              <w:snapToGrid w:val="0"/>
              <w:spacing w:line="400" w:lineRule="exact"/>
              <w:jc w:val="center"/>
              <w:rPr>
                <w:rFonts w:ascii="宋体" w:hAnsi="宋体" w:cs="宋体"/>
                <w:szCs w:val="21"/>
              </w:rPr>
            </w:pPr>
            <w:r>
              <w:rPr>
                <w:rFonts w:hint="eastAsia" w:ascii="宋体" w:hAnsi="宋体" w:cs="宋体"/>
                <w:szCs w:val="21"/>
              </w:rPr>
              <w:t>14</w:t>
            </w:r>
          </w:p>
        </w:tc>
        <w:tc>
          <w:tcPr>
            <w:tcW w:w="8878" w:type="dxa"/>
            <w:tcBorders>
              <w:top w:val="single" w:color="auto" w:sz="4" w:space="0"/>
              <w:left w:val="single" w:color="auto" w:sz="4" w:space="0"/>
              <w:bottom w:val="single" w:color="auto" w:sz="4" w:space="0"/>
              <w:right w:val="single" w:color="auto" w:sz="4" w:space="0"/>
            </w:tcBorders>
            <w:vAlign w:val="center"/>
          </w:tcPr>
          <w:p w14:paraId="250202AF">
            <w:pPr>
              <w:adjustRightInd w:val="0"/>
              <w:snapToGrid w:val="0"/>
              <w:spacing w:line="400" w:lineRule="exact"/>
              <w:rPr>
                <w:rFonts w:ascii="宋体" w:hAnsi="宋体" w:cs="宋体"/>
                <w:szCs w:val="21"/>
              </w:rPr>
            </w:pPr>
            <w:r>
              <w:rPr>
                <w:rFonts w:hint="eastAsia" w:ascii="宋体" w:hAnsi="宋体" w:cs="宋体"/>
                <w:szCs w:val="21"/>
              </w:rPr>
              <w:t>采购资金来源：自筹。</w:t>
            </w:r>
          </w:p>
        </w:tc>
      </w:tr>
      <w:tr w14:paraId="5E8A2C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9"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424ED716">
            <w:pPr>
              <w:adjustRightInd w:val="0"/>
              <w:snapToGrid w:val="0"/>
              <w:spacing w:line="400" w:lineRule="exact"/>
              <w:jc w:val="center"/>
              <w:rPr>
                <w:rFonts w:ascii="宋体" w:hAnsi="宋体" w:cs="宋体"/>
                <w:szCs w:val="21"/>
              </w:rPr>
            </w:pPr>
            <w:r>
              <w:rPr>
                <w:rFonts w:hint="eastAsia" w:ascii="宋体" w:hAnsi="宋体" w:cs="宋体"/>
                <w:szCs w:val="21"/>
              </w:rPr>
              <w:t>★15</w:t>
            </w:r>
          </w:p>
        </w:tc>
        <w:tc>
          <w:tcPr>
            <w:tcW w:w="8878" w:type="dxa"/>
            <w:tcBorders>
              <w:top w:val="single" w:color="auto" w:sz="4" w:space="0"/>
              <w:left w:val="single" w:color="auto" w:sz="4" w:space="0"/>
              <w:bottom w:val="single" w:color="auto" w:sz="4" w:space="0"/>
              <w:right w:val="single" w:color="auto" w:sz="4" w:space="0"/>
            </w:tcBorders>
            <w:vAlign w:val="center"/>
          </w:tcPr>
          <w:p w14:paraId="0B99BAFD">
            <w:pPr>
              <w:adjustRightInd w:val="0"/>
              <w:snapToGrid w:val="0"/>
              <w:spacing w:line="400" w:lineRule="exact"/>
              <w:rPr>
                <w:rFonts w:ascii="宋体" w:hAnsi="宋体" w:cs="宋体"/>
                <w:szCs w:val="21"/>
              </w:rPr>
            </w:pPr>
            <w:r>
              <w:rPr>
                <w:rFonts w:hint="eastAsia" w:ascii="宋体" w:hAnsi="宋体" w:cs="宋体"/>
                <w:szCs w:val="21"/>
              </w:rPr>
              <w:t>投标文件有效期：自投标截止日起90天。</w:t>
            </w:r>
          </w:p>
        </w:tc>
      </w:tr>
      <w:tr w14:paraId="0E1DB7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7"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665D77B2">
            <w:pPr>
              <w:adjustRightInd w:val="0"/>
              <w:snapToGrid w:val="0"/>
              <w:spacing w:line="400" w:lineRule="exact"/>
              <w:jc w:val="center"/>
              <w:rPr>
                <w:rFonts w:ascii="宋体" w:hAnsi="宋体" w:cs="宋体"/>
                <w:szCs w:val="21"/>
              </w:rPr>
            </w:pPr>
            <w:r>
              <w:rPr>
                <w:rFonts w:hint="eastAsia" w:ascii="宋体" w:hAnsi="宋体" w:cs="宋体"/>
                <w:szCs w:val="21"/>
              </w:rPr>
              <w:t>★16</w:t>
            </w:r>
          </w:p>
        </w:tc>
        <w:tc>
          <w:tcPr>
            <w:tcW w:w="8878" w:type="dxa"/>
            <w:tcBorders>
              <w:top w:val="single" w:color="auto" w:sz="4" w:space="0"/>
              <w:left w:val="single" w:color="auto" w:sz="4" w:space="0"/>
              <w:bottom w:val="single" w:color="auto" w:sz="4" w:space="0"/>
              <w:right w:val="single" w:color="auto" w:sz="4" w:space="0"/>
            </w:tcBorders>
            <w:vAlign w:val="center"/>
          </w:tcPr>
          <w:p w14:paraId="1FA99784">
            <w:pPr>
              <w:widowControl/>
              <w:adjustRightInd w:val="0"/>
              <w:snapToGrid w:val="0"/>
              <w:spacing w:line="400" w:lineRule="exact"/>
              <w:jc w:val="left"/>
              <w:rPr>
                <w:rFonts w:ascii="宋体" w:hAnsi="宋体" w:cs="宋体"/>
                <w:szCs w:val="21"/>
              </w:rPr>
            </w:pPr>
            <w:r>
              <w:rPr>
                <w:rFonts w:hint="eastAsia" w:ascii="宋体" w:hAnsi="宋体" w:cs="宋体"/>
                <w:szCs w:val="21"/>
              </w:rPr>
              <w:t>本项目采用电子招标，中标人须在明确中标后、获取中标通知书前将相应的交易服务费缴入平台指定的集团账户（在“投标管家”工具中查看）。</w:t>
            </w:r>
          </w:p>
          <w:p w14:paraId="714364E8">
            <w:pPr>
              <w:widowControl/>
              <w:adjustRightInd w:val="0"/>
              <w:snapToGrid w:val="0"/>
              <w:spacing w:line="400" w:lineRule="exact"/>
              <w:jc w:val="left"/>
              <w:rPr>
                <w:rFonts w:ascii="宋体" w:hAnsi="宋体" w:cs="宋体"/>
                <w:szCs w:val="21"/>
              </w:rPr>
            </w:pPr>
            <w:r>
              <w:rPr>
                <w:rFonts w:hint="eastAsia" w:ascii="宋体" w:hAnsi="宋体" w:cs="宋体"/>
                <w:szCs w:val="21"/>
              </w:rPr>
              <w:t>具体收费标准如下：</w:t>
            </w:r>
          </w:p>
          <w:p w14:paraId="310B0577">
            <w:pPr>
              <w:pStyle w:val="70"/>
              <w:spacing w:line="360" w:lineRule="exact"/>
              <w:ind w:firstLine="422"/>
              <w:jc w:val="center"/>
              <w:rPr>
                <w:rFonts w:ascii="宋体" w:hAnsi="宋体" w:cs="宋体"/>
                <w:b/>
                <w:szCs w:val="21"/>
              </w:rPr>
            </w:pPr>
            <w:r>
              <w:rPr>
                <w:rFonts w:hint="eastAsia" w:ascii="宋体" w:hAnsi="宋体" w:cs="宋体"/>
                <w:b/>
                <w:szCs w:val="21"/>
              </w:rPr>
              <w:t>集团电子招标采购平台交易服务费收取标准</w:t>
            </w:r>
          </w:p>
          <w:tbl>
            <w:tblPr>
              <w:tblStyle w:val="28"/>
              <w:tblW w:w="8539" w:type="dxa"/>
              <w:jc w:val="center"/>
              <w:tblLayout w:type="fixed"/>
              <w:tblCellMar>
                <w:top w:w="0" w:type="dxa"/>
                <w:left w:w="108" w:type="dxa"/>
                <w:bottom w:w="0" w:type="dxa"/>
                <w:right w:w="108" w:type="dxa"/>
              </w:tblCellMar>
            </w:tblPr>
            <w:tblGrid>
              <w:gridCol w:w="4719"/>
              <w:gridCol w:w="3820"/>
            </w:tblGrid>
            <w:tr w14:paraId="228D1F28">
              <w:tblPrEx>
                <w:tblCellMar>
                  <w:top w:w="0" w:type="dxa"/>
                  <w:left w:w="108" w:type="dxa"/>
                  <w:bottom w:w="0" w:type="dxa"/>
                  <w:right w:w="108" w:type="dxa"/>
                </w:tblCellMar>
              </w:tblPrEx>
              <w:trPr>
                <w:trHeight w:val="687" w:hRule="atLeast"/>
                <w:jc w:val="center"/>
              </w:trPr>
              <w:tc>
                <w:tcPr>
                  <w:tcW w:w="4719" w:type="dxa"/>
                  <w:tcBorders>
                    <w:top w:val="single" w:color="000000" w:sz="4" w:space="0"/>
                    <w:left w:val="single" w:color="000000" w:sz="4" w:space="0"/>
                    <w:bottom w:val="single" w:color="000000" w:sz="4" w:space="0"/>
                    <w:right w:val="single" w:color="000000" w:sz="4" w:space="0"/>
                  </w:tcBorders>
                  <w:noWrap/>
                  <w:vAlign w:val="center"/>
                </w:tcPr>
                <w:p w14:paraId="38EF0568">
                  <w:pPr>
                    <w:widowControl/>
                    <w:spacing w:line="360" w:lineRule="exact"/>
                    <w:ind w:firstLine="420"/>
                    <w:jc w:val="left"/>
                    <w:rPr>
                      <w:rFonts w:ascii="宋体" w:hAnsi="宋体" w:cs="宋体"/>
                      <w:szCs w:val="21"/>
                    </w:rPr>
                  </w:pPr>
                  <w:r>
                    <w:rPr>
                      <w:rFonts w:hint="eastAsia" w:ascii="宋体" w:hAnsi="宋体" w:cs="宋体"/>
                      <w:kern w:val="0"/>
                      <w:szCs w:val="21"/>
                    </w:rPr>
                    <w:t>中标价</w:t>
                  </w:r>
                </w:p>
              </w:tc>
              <w:tc>
                <w:tcPr>
                  <w:tcW w:w="3820" w:type="dxa"/>
                  <w:tcBorders>
                    <w:top w:val="single" w:color="000000" w:sz="4" w:space="0"/>
                    <w:left w:val="single" w:color="000000" w:sz="4" w:space="0"/>
                    <w:bottom w:val="single" w:color="000000" w:sz="4" w:space="0"/>
                    <w:right w:val="single" w:color="000000" w:sz="4" w:space="0"/>
                  </w:tcBorders>
                  <w:noWrap/>
                  <w:vAlign w:val="center"/>
                </w:tcPr>
                <w:p w14:paraId="68572E58">
                  <w:pPr>
                    <w:widowControl/>
                    <w:spacing w:line="360" w:lineRule="exact"/>
                    <w:ind w:firstLine="420"/>
                    <w:jc w:val="left"/>
                    <w:rPr>
                      <w:rFonts w:ascii="宋体" w:hAnsi="宋体" w:cs="宋体"/>
                      <w:szCs w:val="21"/>
                    </w:rPr>
                  </w:pPr>
                  <w:r>
                    <w:rPr>
                      <w:rFonts w:hint="eastAsia" w:ascii="宋体" w:hAnsi="宋体" w:cs="宋体"/>
                      <w:kern w:val="0"/>
                      <w:szCs w:val="21"/>
                    </w:rPr>
                    <w:t>收费标准（万元）</w:t>
                  </w:r>
                </w:p>
              </w:tc>
            </w:tr>
            <w:tr w14:paraId="3B28C343">
              <w:tblPrEx>
                <w:tblCellMar>
                  <w:top w:w="0" w:type="dxa"/>
                  <w:left w:w="108" w:type="dxa"/>
                  <w:bottom w:w="0" w:type="dxa"/>
                  <w:right w:w="108" w:type="dxa"/>
                </w:tblCellMar>
              </w:tblPrEx>
              <w:trPr>
                <w:trHeight w:val="360" w:hRule="atLeast"/>
                <w:jc w:val="center"/>
              </w:trPr>
              <w:tc>
                <w:tcPr>
                  <w:tcW w:w="4719" w:type="dxa"/>
                  <w:tcBorders>
                    <w:top w:val="single" w:color="000000" w:sz="4" w:space="0"/>
                    <w:left w:val="single" w:color="000000" w:sz="4" w:space="0"/>
                    <w:bottom w:val="single" w:color="000000" w:sz="4" w:space="0"/>
                    <w:right w:val="single" w:color="000000" w:sz="4" w:space="0"/>
                  </w:tcBorders>
                  <w:noWrap/>
                  <w:vAlign w:val="center"/>
                </w:tcPr>
                <w:p w14:paraId="42ADC3A9">
                  <w:pPr>
                    <w:widowControl/>
                    <w:spacing w:line="360" w:lineRule="exact"/>
                    <w:ind w:firstLine="420"/>
                    <w:jc w:val="left"/>
                    <w:rPr>
                      <w:rFonts w:ascii="宋体" w:hAnsi="宋体" w:cs="宋体"/>
                      <w:szCs w:val="21"/>
                    </w:rPr>
                  </w:pPr>
                  <w:r>
                    <w:rPr>
                      <w:rFonts w:hint="eastAsia" w:ascii="宋体" w:hAnsi="宋体" w:cs="宋体"/>
                      <w:kern w:val="0"/>
                      <w:szCs w:val="21"/>
                    </w:rPr>
                    <w:t>200万(含）以下</w:t>
                  </w:r>
                </w:p>
              </w:tc>
              <w:tc>
                <w:tcPr>
                  <w:tcW w:w="3820" w:type="dxa"/>
                  <w:tcBorders>
                    <w:top w:val="single" w:color="000000" w:sz="4" w:space="0"/>
                    <w:left w:val="single" w:color="000000" w:sz="4" w:space="0"/>
                    <w:bottom w:val="single" w:color="000000" w:sz="4" w:space="0"/>
                    <w:right w:val="single" w:color="000000" w:sz="4" w:space="0"/>
                  </w:tcBorders>
                  <w:noWrap/>
                  <w:vAlign w:val="center"/>
                </w:tcPr>
                <w:p w14:paraId="0B016662">
                  <w:pPr>
                    <w:spacing w:line="360" w:lineRule="exact"/>
                    <w:ind w:firstLine="420"/>
                    <w:jc w:val="left"/>
                    <w:rPr>
                      <w:rFonts w:ascii="宋体" w:hAnsi="宋体" w:cs="宋体"/>
                      <w:szCs w:val="21"/>
                    </w:rPr>
                  </w:pPr>
                  <w:r>
                    <w:rPr>
                      <w:rFonts w:hint="eastAsia" w:ascii="宋体" w:hAnsi="宋体" w:cs="宋体"/>
                      <w:kern w:val="0"/>
                      <w:szCs w:val="21"/>
                    </w:rPr>
                    <w:t>0.1</w:t>
                  </w:r>
                </w:p>
              </w:tc>
            </w:tr>
            <w:tr w14:paraId="0BA2D615">
              <w:tblPrEx>
                <w:tblCellMar>
                  <w:top w:w="0" w:type="dxa"/>
                  <w:left w:w="108" w:type="dxa"/>
                  <w:bottom w:w="0" w:type="dxa"/>
                  <w:right w:w="108" w:type="dxa"/>
                </w:tblCellMar>
              </w:tblPrEx>
              <w:trPr>
                <w:trHeight w:val="360" w:hRule="atLeast"/>
                <w:jc w:val="center"/>
              </w:trPr>
              <w:tc>
                <w:tcPr>
                  <w:tcW w:w="4719" w:type="dxa"/>
                  <w:tcBorders>
                    <w:top w:val="single" w:color="000000" w:sz="4" w:space="0"/>
                    <w:left w:val="single" w:color="000000" w:sz="4" w:space="0"/>
                    <w:bottom w:val="single" w:color="000000" w:sz="4" w:space="0"/>
                    <w:right w:val="single" w:color="000000" w:sz="4" w:space="0"/>
                  </w:tcBorders>
                  <w:noWrap/>
                  <w:vAlign w:val="center"/>
                </w:tcPr>
                <w:p w14:paraId="14E7800E">
                  <w:pPr>
                    <w:widowControl/>
                    <w:spacing w:line="360" w:lineRule="exact"/>
                    <w:ind w:firstLine="420"/>
                    <w:jc w:val="left"/>
                    <w:rPr>
                      <w:rFonts w:ascii="宋体" w:hAnsi="宋体" w:cs="宋体"/>
                      <w:kern w:val="0"/>
                      <w:szCs w:val="21"/>
                    </w:rPr>
                  </w:pPr>
                  <w:r>
                    <w:rPr>
                      <w:rFonts w:hint="eastAsia" w:ascii="宋体" w:hAnsi="宋体" w:cs="宋体"/>
                      <w:kern w:val="0"/>
                      <w:szCs w:val="21"/>
                    </w:rPr>
                    <w:t>200万-500万(含)</w:t>
                  </w:r>
                </w:p>
              </w:tc>
              <w:tc>
                <w:tcPr>
                  <w:tcW w:w="3820" w:type="dxa"/>
                  <w:tcBorders>
                    <w:top w:val="single" w:color="000000" w:sz="4" w:space="0"/>
                    <w:left w:val="single" w:color="000000" w:sz="4" w:space="0"/>
                    <w:bottom w:val="single" w:color="000000" w:sz="4" w:space="0"/>
                    <w:right w:val="single" w:color="000000" w:sz="4" w:space="0"/>
                  </w:tcBorders>
                  <w:noWrap/>
                  <w:vAlign w:val="center"/>
                </w:tcPr>
                <w:p w14:paraId="62C26EBE">
                  <w:pPr>
                    <w:spacing w:line="360" w:lineRule="exact"/>
                    <w:ind w:firstLine="420"/>
                    <w:jc w:val="left"/>
                    <w:rPr>
                      <w:rFonts w:ascii="宋体" w:hAnsi="宋体" w:cs="宋体"/>
                      <w:kern w:val="0"/>
                      <w:szCs w:val="21"/>
                    </w:rPr>
                  </w:pPr>
                  <w:r>
                    <w:rPr>
                      <w:rFonts w:hint="eastAsia" w:ascii="宋体" w:hAnsi="宋体" w:cs="宋体"/>
                      <w:kern w:val="0"/>
                      <w:szCs w:val="21"/>
                    </w:rPr>
                    <w:t>0.25</w:t>
                  </w:r>
                </w:p>
              </w:tc>
            </w:tr>
            <w:tr w14:paraId="7EE2D6AD">
              <w:tblPrEx>
                <w:tblCellMar>
                  <w:top w:w="0" w:type="dxa"/>
                  <w:left w:w="108" w:type="dxa"/>
                  <w:bottom w:w="0" w:type="dxa"/>
                  <w:right w:w="108" w:type="dxa"/>
                </w:tblCellMar>
              </w:tblPrEx>
              <w:trPr>
                <w:trHeight w:val="360" w:hRule="atLeast"/>
                <w:jc w:val="center"/>
              </w:trPr>
              <w:tc>
                <w:tcPr>
                  <w:tcW w:w="4719" w:type="dxa"/>
                  <w:tcBorders>
                    <w:top w:val="single" w:color="000000" w:sz="4" w:space="0"/>
                    <w:left w:val="single" w:color="000000" w:sz="4" w:space="0"/>
                    <w:bottom w:val="single" w:color="000000" w:sz="4" w:space="0"/>
                    <w:right w:val="single" w:color="000000" w:sz="4" w:space="0"/>
                  </w:tcBorders>
                  <w:noWrap/>
                  <w:vAlign w:val="center"/>
                </w:tcPr>
                <w:p w14:paraId="29C4C704">
                  <w:pPr>
                    <w:widowControl/>
                    <w:spacing w:line="360" w:lineRule="exact"/>
                    <w:ind w:firstLine="420"/>
                    <w:jc w:val="left"/>
                    <w:rPr>
                      <w:rFonts w:ascii="宋体" w:hAnsi="宋体" w:cs="宋体"/>
                      <w:szCs w:val="21"/>
                    </w:rPr>
                  </w:pPr>
                  <w:r>
                    <w:rPr>
                      <w:rFonts w:hint="eastAsia" w:ascii="宋体" w:hAnsi="宋体" w:cs="宋体"/>
                      <w:kern w:val="0"/>
                      <w:szCs w:val="21"/>
                    </w:rPr>
                    <w:t>500万-1000万(含)</w:t>
                  </w:r>
                </w:p>
              </w:tc>
              <w:tc>
                <w:tcPr>
                  <w:tcW w:w="3820" w:type="dxa"/>
                  <w:tcBorders>
                    <w:top w:val="single" w:color="000000" w:sz="4" w:space="0"/>
                    <w:left w:val="single" w:color="000000" w:sz="4" w:space="0"/>
                    <w:bottom w:val="single" w:color="000000" w:sz="4" w:space="0"/>
                    <w:right w:val="single" w:color="000000" w:sz="4" w:space="0"/>
                  </w:tcBorders>
                  <w:noWrap/>
                  <w:vAlign w:val="center"/>
                </w:tcPr>
                <w:p w14:paraId="69F98909">
                  <w:pPr>
                    <w:widowControl/>
                    <w:spacing w:line="360" w:lineRule="exact"/>
                    <w:ind w:firstLine="420"/>
                    <w:jc w:val="left"/>
                    <w:rPr>
                      <w:rFonts w:ascii="宋体" w:hAnsi="宋体" w:cs="宋体"/>
                      <w:szCs w:val="21"/>
                    </w:rPr>
                  </w:pPr>
                  <w:r>
                    <w:rPr>
                      <w:rFonts w:hint="eastAsia" w:ascii="宋体" w:hAnsi="宋体" w:cs="宋体"/>
                      <w:kern w:val="0"/>
                      <w:szCs w:val="21"/>
                    </w:rPr>
                    <w:t>0.75</w:t>
                  </w:r>
                </w:p>
              </w:tc>
            </w:tr>
            <w:tr w14:paraId="087DC071">
              <w:tblPrEx>
                <w:tblCellMar>
                  <w:top w:w="0" w:type="dxa"/>
                  <w:left w:w="108" w:type="dxa"/>
                  <w:bottom w:w="0" w:type="dxa"/>
                  <w:right w:w="108" w:type="dxa"/>
                </w:tblCellMar>
              </w:tblPrEx>
              <w:trPr>
                <w:trHeight w:val="360" w:hRule="atLeast"/>
                <w:jc w:val="center"/>
              </w:trPr>
              <w:tc>
                <w:tcPr>
                  <w:tcW w:w="4719" w:type="dxa"/>
                  <w:tcBorders>
                    <w:top w:val="single" w:color="000000" w:sz="4" w:space="0"/>
                    <w:left w:val="single" w:color="000000" w:sz="4" w:space="0"/>
                    <w:bottom w:val="single" w:color="000000" w:sz="4" w:space="0"/>
                    <w:right w:val="single" w:color="000000" w:sz="4" w:space="0"/>
                  </w:tcBorders>
                  <w:noWrap/>
                  <w:vAlign w:val="center"/>
                </w:tcPr>
                <w:p w14:paraId="7B5967AA">
                  <w:pPr>
                    <w:widowControl/>
                    <w:spacing w:line="360" w:lineRule="exact"/>
                    <w:ind w:firstLine="420"/>
                    <w:jc w:val="left"/>
                    <w:rPr>
                      <w:rFonts w:ascii="宋体" w:hAnsi="宋体" w:cs="宋体"/>
                      <w:kern w:val="0"/>
                      <w:szCs w:val="21"/>
                    </w:rPr>
                  </w:pPr>
                  <w:r>
                    <w:rPr>
                      <w:rFonts w:hint="eastAsia" w:ascii="宋体" w:hAnsi="宋体" w:cs="宋体"/>
                      <w:kern w:val="0"/>
                      <w:szCs w:val="21"/>
                    </w:rPr>
                    <w:t>1000万-2000万(含)</w:t>
                  </w:r>
                </w:p>
              </w:tc>
              <w:tc>
                <w:tcPr>
                  <w:tcW w:w="3820" w:type="dxa"/>
                  <w:tcBorders>
                    <w:top w:val="single" w:color="000000" w:sz="4" w:space="0"/>
                    <w:left w:val="single" w:color="000000" w:sz="4" w:space="0"/>
                    <w:bottom w:val="single" w:color="000000" w:sz="4" w:space="0"/>
                    <w:right w:val="single" w:color="000000" w:sz="4" w:space="0"/>
                  </w:tcBorders>
                  <w:noWrap/>
                  <w:vAlign w:val="center"/>
                </w:tcPr>
                <w:p w14:paraId="67809DAF">
                  <w:pPr>
                    <w:widowControl/>
                    <w:spacing w:line="360" w:lineRule="exact"/>
                    <w:ind w:firstLine="420"/>
                    <w:jc w:val="left"/>
                    <w:rPr>
                      <w:rFonts w:ascii="宋体" w:hAnsi="宋体" w:cs="宋体"/>
                      <w:kern w:val="0"/>
                      <w:szCs w:val="21"/>
                    </w:rPr>
                  </w:pPr>
                  <w:r>
                    <w:rPr>
                      <w:rFonts w:hint="eastAsia" w:ascii="宋体" w:hAnsi="宋体" w:cs="宋体"/>
                      <w:kern w:val="0"/>
                      <w:szCs w:val="21"/>
                    </w:rPr>
                    <w:t>1.25</w:t>
                  </w:r>
                </w:p>
              </w:tc>
            </w:tr>
            <w:tr w14:paraId="1E6D329F">
              <w:tblPrEx>
                <w:tblCellMar>
                  <w:top w:w="0" w:type="dxa"/>
                  <w:left w:w="108" w:type="dxa"/>
                  <w:bottom w:w="0" w:type="dxa"/>
                  <w:right w:w="108" w:type="dxa"/>
                </w:tblCellMar>
              </w:tblPrEx>
              <w:trPr>
                <w:trHeight w:val="360" w:hRule="atLeast"/>
                <w:jc w:val="center"/>
              </w:trPr>
              <w:tc>
                <w:tcPr>
                  <w:tcW w:w="4719" w:type="dxa"/>
                  <w:tcBorders>
                    <w:top w:val="single" w:color="000000" w:sz="4" w:space="0"/>
                    <w:left w:val="single" w:color="000000" w:sz="4" w:space="0"/>
                    <w:bottom w:val="single" w:color="000000" w:sz="4" w:space="0"/>
                    <w:right w:val="single" w:color="000000" w:sz="4" w:space="0"/>
                  </w:tcBorders>
                  <w:noWrap/>
                  <w:vAlign w:val="center"/>
                </w:tcPr>
                <w:p w14:paraId="4075A6E5">
                  <w:pPr>
                    <w:widowControl/>
                    <w:spacing w:line="360" w:lineRule="exact"/>
                    <w:ind w:firstLine="420"/>
                    <w:jc w:val="left"/>
                    <w:rPr>
                      <w:rFonts w:ascii="宋体" w:hAnsi="宋体" w:cs="宋体"/>
                      <w:kern w:val="0"/>
                      <w:szCs w:val="21"/>
                    </w:rPr>
                  </w:pPr>
                  <w:r>
                    <w:rPr>
                      <w:rFonts w:hint="eastAsia" w:ascii="宋体" w:hAnsi="宋体" w:cs="宋体"/>
                      <w:kern w:val="0"/>
                      <w:szCs w:val="21"/>
                    </w:rPr>
                    <w:t>2000万-5000万(含)</w:t>
                  </w:r>
                </w:p>
              </w:tc>
              <w:tc>
                <w:tcPr>
                  <w:tcW w:w="3820" w:type="dxa"/>
                  <w:tcBorders>
                    <w:top w:val="single" w:color="000000" w:sz="4" w:space="0"/>
                    <w:left w:val="single" w:color="000000" w:sz="4" w:space="0"/>
                    <w:bottom w:val="single" w:color="000000" w:sz="4" w:space="0"/>
                    <w:right w:val="single" w:color="000000" w:sz="4" w:space="0"/>
                  </w:tcBorders>
                  <w:noWrap/>
                  <w:vAlign w:val="center"/>
                </w:tcPr>
                <w:p w14:paraId="3ABAD756">
                  <w:pPr>
                    <w:widowControl/>
                    <w:spacing w:line="360" w:lineRule="exact"/>
                    <w:ind w:firstLine="420"/>
                    <w:jc w:val="left"/>
                    <w:rPr>
                      <w:rFonts w:ascii="宋体" w:hAnsi="宋体" w:cs="宋体"/>
                      <w:kern w:val="0"/>
                      <w:szCs w:val="21"/>
                    </w:rPr>
                  </w:pPr>
                  <w:r>
                    <w:rPr>
                      <w:rFonts w:hint="eastAsia" w:ascii="宋体" w:hAnsi="宋体" w:cs="宋体"/>
                      <w:kern w:val="0"/>
                      <w:szCs w:val="21"/>
                    </w:rPr>
                    <w:t>1.75</w:t>
                  </w:r>
                </w:p>
              </w:tc>
            </w:tr>
            <w:tr w14:paraId="5927A108">
              <w:tblPrEx>
                <w:tblCellMar>
                  <w:top w:w="0" w:type="dxa"/>
                  <w:left w:w="108" w:type="dxa"/>
                  <w:bottom w:w="0" w:type="dxa"/>
                  <w:right w:w="108" w:type="dxa"/>
                </w:tblCellMar>
              </w:tblPrEx>
              <w:trPr>
                <w:trHeight w:val="360" w:hRule="atLeast"/>
                <w:jc w:val="center"/>
              </w:trPr>
              <w:tc>
                <w:tcPr>
                  <w:tcW w:w="4719" w:type="dxa"/>
                  <w:tcBorders>
                    <w:top w:val="single" w:color="000000" w:sz="4" w:space="0"/>
                    <w:left w:val="single" w:color="000000" w:sz="4" w:space="0"/>
                    <w:bottom w:val="single" w:color="000000" w:sz="4" w:space="0"/>
                    <w:right w:val="single" w:color="000000" w:sz="4" w:space="0"/>
                  </w:tcBorders>
                  <w:noWrap/>
                  <w:vAlign w:val="center"/>
                </w:tcPr>
                <w:p w14:paraId="0244E370">
                  <w:pPr>
                    <w:widowControl/>
                    <w:spacing w:line="360" w:lineRule="exact"/>
                    <w:ind w:firstLine="420"/>
                    <w:jc w:val="left"/>
                    <w:rPr>
                      <w:rFonts w:ascii="宋体" w:hAnsi="宋体" w:cs="宋体"/>
                      <w:szCs w:val="21"/>
                    </w:rPr>
                  </w:pPr>
                  <w:r>
                    <w:rPr>
                      <w:rFonts w:hint="eastAsia" w:ascii="宋体" w:hAnsi="宋体" w:cs="宋体"/>
                      <w:kern w:val="0"/>
                      <w:szCs w:val="21"/>
                    </w:rPr>
                    <w:t>5000万-1亿(含)</w:t>
                  </w:r>
                </w:p>
              </w:tc>
              <w:tc>
                <w:tcPr>
                  <w:tcW w:w="3820" w:type="dxa"/>
                  <w:tcBorders>
                    <w:top w:val="single" w:color="000000" w:sz="4" w:space="0"/>
                    <w:left w:val="single" w:color="000000" w:sz="4" w:space="0"/>
                    <w:bottom w:val="single" w:color="000000" w:sz="4" w:space="0"/>
                    <w:right w:val="single" w:color="000000" w:sz="4" w:space="0"/>
                  </w:tcBorders>
                  <w:noWrap/>
                  <w:vAlign w:val="center"/>
                </w:tcPr>
                <w:p w14:paraId="7B18F775">
                  <w:pPr>
                    <w:widowControl/>
                    <w:spacing w:line="360" w:lineRule="exact"/>
                    <w:ind w:firstLine="420"/>
                    <w:jc w:val="left"/>
                    <w:rPr>
                      <w:rFonts w:ascii="宋体" w:hAnsi="宋体" w:cs="宋体"/>
                      <w:szCs w:val="21"/>
                    </w:rPr>
                  </w:pPr>
                  <w:r>
                    <w:rPr>
                      <w:rFonts w:hint="eastAsia" w:ascii="宋体" w:hAnsi="宋体" w:cs="宋体"/>
                      <w:kern w:val="0"/>
                      <w:szCs w:val="21"/>
                    </w:rPr>
                    <w:t>2.5</w:t>
                  </w:r>
                </w:p>
              </w:tc>
            </w:tr>
            <w:tr w14:paraId="116E72A0">
              <w:tblPrEx>
                <w:tblCellMar>
                  <w:top w:w="0" w:type="dxa"/>
                  <w:left w:w="108" w:type="dxa"/>
                  <w:bottom w:w="0" w:type="dxa"/>
                  <w:right w:w="108" w:type="dxa"/>
                </w:tblCellMar>
              </w:tblPrEx>
              <w:trPr>
                <w:trHeight w:val="360" w:hRule="atLeast"/>
                <w:jc w:val="center"/>
              </w:trPr>
              <w:tc>
                <w:tcPr>
                  <w:tcW w:w="4719" w:type="dxa"/>
                  <w:tcBorders>
                    <w:top w:val="single" w:color="000000" w:sz="4" w:space="0"/>
                    <w:left w:val="single" w:color="000000" w:sz="4" w:space="0"/>
                    <w:bottom w:val="single" w:color="000000" w:sz="4" w:space="0"/>
                    <w:right w:val="single" w:color="000000" w:sz="4" w:space="0"/>
                  </w:tcBorders>
                  <w:noWrap/>
                  <w:vAlign w:val="center"/>
                </w:tcPr>
                <w:p w14:paraId="12E9A626">
                  <w:pPr>
                    <w:widowControl/>
                    <w:spacing w:line="360" w:lineRule="exact"/>
                    <w:ind w:firstLine="420"/>
                    <w:jc w:val="left"/>
                    <w:rPr>
                      <w:rFonts w:ascii="宋体" w:hAnsi="宋体" w:cs="宋体"/>
                      <w:kern w:val="0"/>
                      <w:szCs w:val="21"/>
                    </w:rPr>
                  </w:pPr>
                  <w:r>
                    <w:rPr>
                      <w:rFonts w:hint="eastAsia" w:ascii="宋体" w:hAnsi="宋体" w:cs="宋体"/>
                      <w:kern w:val="0"/>
                      <w:szCs w:val="21"/>
                    </w:rPr>
                    <w:t>1亿-5亿(含)</w:t>
                  </w:r>
                </w:p>
              </w:tc>
              <w:tc>
                <w:tcPr>
                  <w:tcW w:w="3820" w:type="dxa"/>
                  <w:tcBorders>
                    <w:top w:val="single" w:color="000000" w:sz="4" w:space="0"/>
                    <w:left w:val="single" w:color="000000" w:sz="4" w:space="0"/>
                    <w:bottom w:val="single" w:color="000000" w:sz="4" w:space="0"/>
                    <w:right w:val="single" w:color="000000" w:sz="4" w:space="0"/>
                  </w:tcBorders>
                  <w:noWrap/>
                  <w:vAlign w:val="center"/>
                </w:tcPr>
                <w:p w14:paraId="5620B445">
                  <w:pPr>
                    <w:widowControl/>
                    <w:spacing w:line="360" w:lineRule="exact"/>
                    <w:ind w:firstLine="420"/>
                    <w:jc w:val="left"/>
                    <w:rPr>
                      <w:rFonts w:ascii="宋体" w:hAnsi="宋体" w:cs="宋体"/>
                      <w:kern w:val="0"/>
                      <w:szCs w:val="21"/>
                    </w:rPr>
                  </w:pPr>
                  <w:r>
                    <w:rPr>
                      <w:rFonts w:hint="eastAsia" w:ascii="宋体" w:hAnsi="宋体" w:cs="宋体"/>
                      <w:kern w:val="0"/>
                      <w:szCs w:val="21"/>
                    </w:rPr>
                    <w:t>3.5</w:t>
                  </w:r>
                </w:p>
              </w:tc>
            </w:tr>
            <w:tr w14:paraId="2CA5C965">
              <w:tblPrEx>
                <w:tblCellMar>
                  <w:top w:w="0" w:type="dxa"/>
                  <w:left w:w="108" w:type="dxa"/>
                  <w:bottom w:w="0" w:type="dxa"/>
                  <w:right w:w="108" w:type="dxa"/>
                </w:tblCellMar>
              </w:tblPrEx>
              <w:trPr>
                <w:trHeight w:val="360" w:hRule="atLeast"/>
                <w:jc w:val="center"/>
              </w:trPr>
              <w:tc>
                <w:tcPr>
                  <w:tcW w:w="4719" w:type="dxa"/>
                  <w:tcBorders>
                    <w:top w:val="single" w:color="000000" w:sz="4" w:space="0"/>
                    <w:left w:val="single" w:color="000000" w:sz="4" w:space="0"/>
                    <w:bottom w:val="single" w:color="000000" w:sz="4" w:space="0"/>
                    <w:right w:val="single" w:color="000000" w:sz="4" w:space="0"/>
                  </w:tcBorders>
                  <w:noWrap/>
                  <w:vAlign w:val="center"/>
                </w:tcPr>
                <w:p w14:paraId="4F17000E">
                  <w:pPr>
                    <w:widowControl/>
                    <w:spacing w:line="360" w:lineRule="exact"/>
                    <w:ind w:firstLine="420"/>
                    <w:jc w:val="left"/>
                    <w:rPr>
                      <w:rFonts w:ascii="宋体" w:hAnsi="宋体" w:cs="宋体"/>
                      <w:szCs w:val="21"/>
                    </w:rPr>
                  </w:pPr>
                  <w:r>
                    <w:rPr>
                      <w:rFonts w:hint="eastAsia" w:ascii="宋体" w:hAnsi="宋体" w:cs="宋体"/>
                      <w:kern w:val="0"/>
                      <w:szCs w:val="21"/>
                    </w:rPr>
                    <w:t>5亿—10亿(含)</w:t>
                  </w:r>
                </w:p>
              </w:tc>
              <w:tc>
                <w:tcPr>
                  <w:tcW w:w="3820" w:type="dxa"/>
                  <w:tcBorders>
                    <w:top w:val="single" w:color="000000" w:sz="4" w:space="0"/>
                    <w:left w:val="single" w:color="000000" w:sz="4" w:space="0"/>
                    <w:bottom w:val="single" w:color="000000" w:sz="4" w:space="0"/>
                    <w:right w:val="single" w:color="000000" w:sz="4" w:space="0"/>
                  </w:tcBorders>
                  <w:noWrap/>
                  <w:vAlign w:val="center"/>
                </w:tcPr>
                <w:p w14:paraId="1EE28A79">
                  <w:pPr>
                    <w:widowControl/>
                    <w:spacing w:line="360" w:lineRule="exact"/>
                    <w:ind w:firstLine="420"/>
                    <w:jc w:val="left"/>
                    <w:rPr>
                      <w:rFonts w:ascii="宋体" w:hAnsi="宋体" w:cs="宋体"/>
                      <w:szCs w:val="21"/>
                    </w:rPr>
                  </w:pPr>
                  <w:r>
                    <w:rPr>
                      <w:rFonts w:hint="eastAsia" w:ascii="宋体" w:hAnsi="宋体" w:cs="宋体"/>
                      <w:kern w:val="0"/>
                      <w:szCs w:val="21"/>
                    </w:rPr>
                    <w:t>5</w:t>
                  </w:r>
                </w:p>
              </w:tc>
            </w:tr>
            <w:tr w14:paraId="0A58CD41">
              <w:tblPrEx>
                <w:tblCellMar>
                  <w:top w:w="0" w:type="dxa"/>
                  <w:left w:w="108" w:type="dxa"/>
                  <w:bottom w:w="0" w:type="dxa"/>
                  <w:right w:w="108" w:type="dxa"/>
                </w:tblCellMar>
              </w:tblPrEx>
              <w:trPr>
                <w:trHeight w:val="360" w:hRule="atLeast"/>
                <w:jc w:val="center"/>
              </w:trPr>
              <w:tc>
                <w:tcPr>
                  <w:tcW w:w="4719" w:type="dxa"/>
                  <w:tcBorders>
                    <w:top w:val="single" w:color="000000" w:sz="4" w:space="0"/>
                    <w:left w:val="single" w:color="000000" w:sz="4" w:space="0"/>
                    <w:bottom w:val="single" w:color="000000" w:sz="4" w:space="0"/>
                    <w:right w:val="single" w:color="000000" w:sz="4" w:space="0"/>
                  </w:tcBorders>
                  <w:noWrap/>
                  <w:vAlign w:val="center"/>
                </w:tcPr>
                <w:p w14:paraId="652D70FA">
                  <w:pPr>
                    <w:widowControl/>
                    <w:spacing w:line="360" w:lineRule="exact"/>
                    <w:ind w:firstLine="420"/>
                    <w:jc w:val="left"/>
                    <w:rPr>
                      <w:rFonts w:ascii="宋体" w:hAnsi="宋体" w:cs="宋体"/>
                      <w:kern w:val="0"/>
                      <w:szCs w:val="21"/>
                    </w:rPr>
                  </w:pPr>
                  <w:r>
                    <w:rPr>
                      <w:rFonts w:hint="eastAsia" w:ascii="宋体" w:hAnsi="宋体" w:cs="宋体"/>
                      <w:kern w:val="0"/>
                      <w:szCs w:val="21"/>
                    </w:rPr>
                    <w:t>10亿以上</w:t>
                  </w:r>
                </w:p>
              </w:tc>
              <w:tc>
                <w:tcPr>
                  <w:tcW w:w="3820" w:type="dxa"/>
                  <w:tcBorders>
                    <w:top w:val="single" w:color="000000" w:sz="4" w:space="0"/>
                    <w:left w:val="single" w:color="000000" w:sz="4" w:space="0"/>
                    <w:bottom w:val="single" w:color="000000" w:sz="4" w:space="0"/>
                    <w:right w:val="single" w:color="000000" w:sz="4" w:space="0"/>
                  </w:tcBorders>
                  <w:noWrap/>
                  <w:vAlign w:val="center"/>
                </w:tcPr>
                <w:p w14:paraId="591FA3A9">
                  <w:pPr>
                    <w:widowControl/>
                    <w:spacing w:line="360" w:lineRule="exact"/>
                    <w:ind w:firstLine="420"/>
                    <w:jc w:val="left"/>
                    <w:rPr>
                      <w:rFonts w:ascii="宋体" w:hAnsi="宋体" w:cs="宋体"/>
                      <w:kern w:val="0"/>
                      <w:szCs w:val="21"/>
                    </w:rPr>
                  </w:pPr>
                  <w:r>
                    <w:rPr>
                      <w:rFonts w:hint="eastAsia" w:ascii="宋体" w:hAnsi="宋体" w:cs="宋体"/>
                      <w:kern w:val="0"/>
                      <w:szCs w:val="21"/>
                    </w:rPr>
                    <w:t>6</w:t>
                  </w:r>
                </w:p>
              </w:tc>
            </w:tr>
            <w:tr w14:paraId="5035E644">
              <w:tblPrEx>
                <w:tblCellMar>
                  <w:top w:w="0" w:type="dxa"/>
                  <w:left w:w="108" w:type="dxa"/>
                  <w:bottom w:w="0" w:type="dxa"/>
                  <w:right w:w="108" w:type="dxa"/>
                </w:tblCellMar>
              </w:tblPrEx>
              <w:trPr>
                <w:trHeight w:val="3043" w:hRule="atLeast"/>
                <w:jc w:val="center"/>
              </w:trPr>
              <w:tc>
                <w:tcPr>
                  <w:tcW w:w="8539" w:type="dxa"/>
                  <w:gridSpan w:val="2"/>
                  <w:tcBorders>
                    <w:top w:val="single" w:color="000000" w:sz="4" w:space="0"/>
                    <w:left w:val="single" w:color="000000" w:sz="4" w:space="0"/>
                    <w:bottom w:val="single" w:color="000000" w:sz="4" w:space="0"/>
                    <w:right w:val="single" w:color="000000" w:sz="4" w:space="0"/>
                  </w:tcBorders>
                  <w:noWrap/>
                  <w:vAlign w:val="center"/>
                </w:tcPr>
                <w:p w14:paraId="6D0D82E1">
                  <w:pPr>
                    <w:spacing w:line="360" w:lineRule="exact"/>
                    <w:ind w:firstLine="420"/>
                    <w:jc w:val="left"/>
                    <w:rPr>
                      <w:rFonts w:ascii="宋体" w:hAnsi="宋体" w:cs="宋体"/>
                      <w:kern w:val="58"/>
                      <w:szCs w:val="21"/>
                    </w:rPr>
                  </w:pPr>
                  <w:r>
                    <w:rPr>
                      <w:rFonts w:hint="eastAsia" w:ascii="宋体" w:hAnsi="宋体" w:cs="宋体"/>
                      <w:kern w:val="58"/>
                      <w:szCs w:val="21"/>
                    </w:rPr>
                    <w:t>注：</w:t>
                  </w:r>
                </w:p>
                <w:p w14:paraId="4E24DF62">
                  <w:pPr>
                    <w:spacing w:line="360" w:lineRule="exact"/>
                    <w:ind w:firstLine="420"/>
                    <w:jc w:val="left"/>
                    <w:rPr>
                      <w:rFonts w:ascii="宋体" w:hAnsi="宋体" w:cs="宋体"/>
                      <w:kern w:val="58"/>
                      <w:szCs w:val="21"/>
                    </w:rPr>
                  </w:pPr>
                  <w:r>
                    <w:rPr>
                      <w:rFonts w:hint="eastAsia" w:ascii="宋体" w:hAnsi="宋体" w:cs="宋体"/>
                      <w:kern w:val="58"/>
                      <w:szCs w:val="21"/>
                    </w:rPr>
                    <w:t>1.交易服务费由中标单位承担。</w:t>
                  </w:r>
                </w:p>
                <w:p w14:paraId="6FCAEAC7">
                  <w:pPr>
                    <w:spacing w:line="360" w:lineRule="exact"/>
                    <w:ind w:firstLine="420"/>
                    <w:jc w:val="left"/>
                    <w:rPr>
                      <w:rFonts w:ascii="宋体" w:hAnsi="宋体" w:cs="宋体"/>
                      <w:kern w:val="58"/>
                      <w:szCs w:val="21"/>
                    </w:rPr>
                  </w:pPr>
                  <w:r>
                    <w:rPr>
                      <w:rFonts w:hint="eastAsia" w:ascii="宋体" w:hAnsi="宋体" w:cs="宋体"/>
                      <w:kern w:val="58"/>
                      <w:szCs w:val="21"/>
                    </w:rPr>
                    <w:t>2.对于招标服务期在1年以上且按每年报价的项目,交易服务费按1年的中标金额计取。</w:t>
                  </w:r>
                </w:p>
                <w:p w14:paraId="6BDA646C">
                  <w:pPr>
                    <w:spacing w:line="360" w:lineRule="exact"/>
                    <w:ind w:firstLine="420"/>
                    <w:jc w:val="left"/>
                    <w:rPr>
                      <w:rFonts w:ascii="宋体" w:hAnsi="宋体" w:cs="宋体"/>
                      <w:kern w:val="58"/>
                      <w:szCs w:val="21"/>
                    </w:rPr>
                  </w:pPr>
                  <w:r>
                    <w:rPr>
                      <w:rFonts w:hint="eastAsia" w:ascii="宋体" w:hAnsi="宋体" w:cs="宋体"/>
                      <w:kern w:val="58"/>
                      <w:szCs w:val="21"/>
                    </w:rPr>
                    <w:t>3.对于无具体交易(中标)金额的限额以上招标采购项目参照项目计划金额计取,对于无具体交易(中标)金额的限额以下招标采购项目按每个项目1000元计取，多家中标人费用平摊。</w:t>
                  </w:r>
                </w:p>
                <w:p w14:paraId="20C58328">
                  <w:pPr>
                    <w:spacing w:line="360" w:lineRule="exact"/>
                    <w:ind w:firstLine="420"/>
                    <w:jc w:val="left"/>
                    <w:rPr>
                      <w:rFonts w:ascii="宋体" w:hAnsi="宋体" w:cs="宋体"/>
                      <w:szCs w:val="21"/>
                    </w:rPr>
                  </w:pPr>
                  <w:r>
                    <w:rPr>
                      <w:rFonts w:hint="eastAsia" w:ascii="宋体" w:hAnsi="宋体" w:cs="宋体"/>
                      <w:kern w:val="58"/>
                      <w:szCs w:val="21"/>
                    </w:rPr>
                    <w:t>4.限额以下非招标项目按实际成交价0.2%收取交易服务费，最高不超过500元，5万元以下项目免收交易服务费。</w:t>
                  </w:r>
                </w:p>
              </w:tc>
            </w:tr>
          </w:tbl>
          <w:p w14:paraId="746E984C">
            <w:pPr>
              <w:adjustRightInd w:val="0"/>
              <w:snapToGrid w:val="0"/>
              <w:spacing w:line="400" w:lineRule="exact"/>
              <w:rPr>
                <w:rFonts w:ascii="宋体" w:hAnsi="宋体" w:cs="宋体"/>
                <w:szCs w:val="21"/>
              </w:rPr>
            </w:pPr>
          </w:p>
        </w:tc>
      </w:tr>
      <w:tr w14:paraId="3EDF6D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6054C34C">
            <w:pPr>
              <w:adjustRightInd w:val="0"/>
              <w:snapToGrid w:val="0"/>
              <w:spacing w:line="400" w:lineRule="exact"/>
              <w:jc w:val="center"/>
              <w:rPr>
                <w:rFonts w:ascii="宋体" w:hAnsi="宋体" w:cs="宋体"/>
                <w:szCs w:val="21"/>
              </w:rPr>
            </w:pPr>
            <w:r>
              <w:rPr>
                <w:rFonts w:hint="eastAsia" w:ascii="宋体" w:hAnsi="宋体" w:cs="宋体"/>
                <w:szCs w:val="21"/>
              </w:rPr>
              <w:t>★17</w:t>
            </w:r>
          </w:p>
        </w:tc>
        <w:tc>
          <w:tcPr>
            <w:tcW w:w="8878" w:type="dxa"/>
            <w:tcBorders>
              <w:top w:val="single" w:color="auto" w:sz="4" w:space="0"/>
              <w:left w:val="single" w:color="auto" w:sz="4" w:space="0"/>
              <w:bottom w:val="single" w:color="auto" w:sz="4" w:space="0"/>
              <w:right w:val="single" w:color="auto" w:sz="4" w:space="0"/>
            </w:tcBorders>
            <w:vAlign w:val="center"/>
          </w:tcPr>
          <w:p w14:paraId="30D5583E">
            <w:pPr>
              <w:adjustRightInd w:val="0"/>
              <w:snapToGrid w:val="0"/>
              <w:spacing w:line="400" w:lineRule="exact"/>
              <w:rPr>
                <w:rFonts w:ascii="宋体" w:hAnsi="宋体" w:cs="宋体"/>
                <w:szCs w:val="21"/>
              </w:rPr>
            </w:pPr>
            <w:r>
              <w:rPr>
                <w:rFonts w:hint="eastAsia" w:ascii="宋体" w:hAnsi="宋体" w:cs="宋体"/>
                <w:szCs w:val="21"/>
              </w:rPr>
              <w:t>招标代理服务费：由招标人支付</w:t>
            </w:r>
          </w:p>
        </w:tc>
      </w:tr>
      <w:tr w14:paraId="719177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69EDF00D">
            <w:pPr>
              <w:adjustRightInd w:val="0"/>
              <w:snapToGrid w:val="0"/>
              <w:spacing w:line="400" w:lineRule="exact"/>
              <w:jc w:val="center"/>
              <w:rPr>
                <w:rFonts w:ascii="宋体" w:hAnsi="宋体" w:cs="宋体"/>
                <w:szCs w:val="21"/>
              </w:rPr>
            </w:pPr>
            <w:r>
              <w:rPr>
                <w:rFonts w:hint="eastAsia" w:ascii="宋体" w:hAnsi="宋体" w:cs="宋体"/>
                <w:szCs w:val="21"/>
              </w:rPr>
              <w:t>18</w:t>
            </w:r>
          </w:p>
        </w:tc>
        <w:tc>
          <w:tcPr>
            <w:tcW w:w="8878" w:type="dxa"/>
            <w:tcBorders>
              <w:top w:val="single" w:color="auto" w:sz="4" w:space="0"/>
              <w:left w:val="single" w:color="auto" w:sz="4" w:space="0"/>
              <w:bottom w:val="single" w:color="auto" w:sz="4" w:space="0"/>
              <w:right w:val="single" w:color="auto" w:sz="4" w:space="0"/>
            </w:tcBorders>
            <w:vAlign w:val="center"/>
          </w:tcPr>
          <w:p w14:paraId="5CC28E25">
            <w:pPr>
              <w:adjustRightInd w:val="0"/>
              <w:snapToGrid w:val="0"/>
              <w:spacing w:line="400" w:lineRule="exact"/>
              <w:rPr>
                <w:rFonts w:ascii="宋体" w:hAnsi="宋体" w:cs="宋体"/>
                <w:kern w:val="58"/>
                <w:szCs w:val="21"/>
              </w:rPr>
            </w:pPr>
            <w:r>
              <w:rPr>
                <w:rFonts w:hint="eastAsia" w:ascii="宋体" w:hAnsi="宋体" w:cs="宋体"/>
                <w:szCs w:val="21"/>
              </w:rPr>
              <w:t>解释：本招标文件的解释权属于招标人。</w:t>
            </w:r>
          </w:p>
        </w:tc>
      </w:tr>
    </w:tbl>
    <w:p w14:paraId="6724257B">
      <w:pPr>
        <w:spacing w:line="360" w:lineRule="auto"/>
        <w:ind w:firstLine="420" w:firstLineChars="200"/>
        <w:rPr>
          <w:rFonts w:ascii="宋体" w:hAnsi="宋体" w:cs="宋体"/>
          <w:kern w:val="0"/>
          <w:szCs w:val="21"/>
        </w:rPr>
      </w:pPr>
    </w:p>
    <w:p w14:paraId="6A21819C">
      <w:pPr>
        <w:widowControl/>
        <w:jc w:val="left"/>
      </w:pPr>
      <w:r>
        <w:br w:type="page"/>
      </w:r>
    </w:p>
    <w:p w14:paraId="70880F59">
      <w:pPr>
        <w:pStyle w:val="21"/>
        <w:rPr>
          <w:sz w:val="28"/>
        </w:rPr>
      </w:pPr>
      <w:bookmarkStart w:id="9" w:name="_Toc50128379"/>
      <w:r>
        <w:rPr>
          <w:rFonts w:hint="eastAsia"/>
          <w:sz w:val="28"/>
        </w:rPr>
        <w:t>一总则</w:t>
      </w:r>
      <w:bookmarkEnd w:id="9"/>
    </w:p>
    <w:p w14:paraId="6FA5A266">
      <w:pPr>
        <w:snapToGrid w:val="0"/>
        <w:spacing w:line="360" w:lineRule="auto"/>
        <w:ind w:firstLine="413" w:firstLineChars="196"/>
        <w:jc w:val="left"/>
        <w:rPr>
          <w:rFonts w:ascii="宋体" w:hAnsi="宋体"/>
          <w:b/>
          <w:color w:val="000000"/>
          <w:szCs w:val="21"/>
        </w:rPr>
      </w:pPr>
      <w:bookmarkStart w:id="10" w:name="_Toc50128380"/>
      <w:r>
        <w:rPr>
          <w:rFonts w:hint="eastAsia" w:ascii="宋体" w:hAnsi="宋体"/>
          <w:b/>
          <w:color w:val="000000"/>
          <w:szCs w:val="21"/>
        </w:rPr>
        <w:t>（一）</w:t>
      </w:r>
      <w:r>
        <w:rPr>
          <w:rFonts w:ascii="宋体" w:hAnsi="宋体"/>
          <w:b/>
          <w:color w:val="000000"/>
          <w:szCs w:val="21"/>
        </w:rPr>
        <w:t xml:space="preserve"> 适用范围</w:t>
      </w:r>
      <w:bookmarkEnd w:id="10"/>
    </w:p>
    <w:p w14:paraId="19414094">
      <w:pPr>
        <w:snapToGrid w:val="0"/>
        <w:spacing w:line="360" w:lineRule="auto"/>
        <w:ind w:firstLine="420" w:firstLineChars="200"/>
        <w:jc w:val="left"/>
        <w:rPr>
          <w:rFonts w:ascii="宋体" w:hAnsi="宋体"/>
          <w:color w:val="000000"/>
          <w:szCs w:val="21"/>
          <w:u w:val="single"/>
        </w:rPr>
      </w:pPr>
      <w:r>
        <w:rPr>
          <w:rFonts w:hint="eastAsia" w:ascii="宋体" w:hAnsi="宋体" w:cs="宋体"/>
          <w:color w:val="000000"/>
          <w:szCs w:val="21"/>
        </w:rPr>
        <w:t>本招标文件适用于</w:t>
      </w:r>
      <w:r>
        <w:rPr>
          <w:rFonts w:hint="eastAsia" w:hAnsi="宋体"/>
          <w:color w:val="000000"/>
          <w:szCs w:val="21"/>
        </w:rPr>
        <w:t>温州金洋集装箱码头有限公司25吨叉车维修</w:t>
      </w:r>
      <w:r>
        <w:rPr>
          <w:rFonts w:hint="eastAsia" w:ascii="宋体" w:hAnsi="宋体"/>
          <w:color w:val="000000"/>
          <w:szCs w:val="21"/>
        </w:rPr>
        <w:t>项目</w:t>
      </w:r>
      <w:r>
        <w:rPr>
          <w:rFonts w:hint="eastAsia" w:ascii="宋体" w:hAnsi="宋体" w:cs="宋体"/>
          <w:bCs/>
          <w:color w:val="000000"/>
          <w:szCs w:val="21"/>
        </w:rPr>
        <w:t>招标</w:t>
      </w:r>
      <w:r>
        <w:rPr>
          <w:rFonts w:hint="eastAsia" w:ascii="宋体" w:hAnsi="宋体" w:cs="宋体"/>
          <w:color w:val="000000"/>
          <w:szCs w:val="21"/>
        </w:rPr>
        <w:t>、投标、评标、定标、验收、合同履约、付款等行为（法律、法规另有规定的，从其规定）。</w:t>
      </w:r>
    </w:p>
    <w:p w14:paraId="4EDA69AD">
      <w:pPr>
        <w:snapToGrid w:val="0"/>
        <w:spacing w:line="360" w:lineRule="auto"/>
        <w:ind w:firstLine="422" w:firstLineChars="200"/>
        <w:jc w:val="left"/>
        <w:rPr>
          <w:rFonts w:ascii="宋体" w:hAnsi="宋体"/>
          <w:b/>
          <w:color w:val="000000"/>
          <w:szCs w:val="21"/>
        </w:rPr>
      </w:pPr>
      <w:r>
        <w:rPr>
          <w:rFonts w:hint="eastAsia" w:ascii="宋体" w:hAnsi="宋体"/>
          <w:b/>
          <w:color w:val="000000"/>
          <w:szCs w:val="21"/>
        </w:rPr>
        <w:t>（二）定义</w:t>
      </w:r>
    </w:p>
    <w:p w14:paraId="6EC08DFE">
      <w:pPr>
        <w:pStyle w:val="15"/>
        <w:snapToGrid w:val="0"/>
        <w:spacing w:before="156" w:after="156" w:line="360" w:lineRule="auto"/>
        <w:ind w:firstLine="420" w:firstLineChars="200"/>
        <w:rPr>
          <w:rFonts w:hAnsi="宋体"/>
          <w:color w:val="000000"/>
          <w:kern w:val="2"/>
          <w:sz w:val="21"/>
          <w:szCs w:val="21"/>
        </w:rPr>
      </w:pPr>
      <w:r>
        <w:rPr>
          <w:rFonts w:hAnsi="宋体"/>
          <w:color w:val="000000"/>
          <w:kern w:val="2"/>
          <w:sz w:val="21"/>
          <w:szCs w:val="21"/>
        </w:rPr>
        <w:t>1</w:t>
      </w:r>
      <w:r>
        <w:rPr>
          <w:rFonts w:hint="eastAsia" w:hAnsi="宋体"/>
          <w:color w:val="000000"/>
          <w:kern w:val="2"/>
          <w:sz w:val="21"/>
          <w:szCs w:val="21"/>
        </w:rPr>
        <w:t>.“</w:t>
      </w:r>
      <w:r>
        <w:rPr>
          <w:rFonts w:hAnsi="宋体"/>
          <w:color w:val="000000"/>
          <w:kern w:val="2"/>
          <w:sz w:val="21"/>
          <w:szCs w:val="21"/>
        </w:rPr>
        <w:t>招标</w:t>
      </w:r>
      <w:r>
        <w:rPr>
          <w:rFonts w:hint="eastAsia" w:hAnsi="宋体"/>
          <w:color w:val="000000"/>
          <w:kern w:val="2"/>
          <w:sz w:val="21"/>
          <w:szCs w:val="21"/>
        </w:rPr>
        <w:t>人”</w:t>
      </w:r>
      <w:r>
        <w:rPr>
          <w:rFonts w:hAnsi="宋体"/>
          <w:color w:val="000000"/>
          <w:kern w:val="2"/>
          <w:sz w:val="21"/>
          <w:szCs w:val="21"/>
        </w:rPr>
        <w:t>系指组织本次招标的单位</w:t>
      </w:r>
      <w:r>
        <w:rPr>
          <w:rFonts w:hint="eastAsia" w:hAnsi="宋体"/>
          <w:color w:val="000000"/>
          <w:kern w:val="2"/>
          <w:sz w:val="21"/>
          <w:szCs w:val="21"/>
        </w:rPr>
        <w:t>：温州金洋集装箱码头有限公司</w:t>
      </w:r>
    </w:p>
    <w:p w14:paraId="5143CAA9">
      <w:pPr>
        <w:pStyle w:val="15"/>
        <w:snapToGrid w:val="0"/>
        <w:spacing w:before="156" w:after="156" w:line="360" w:lineRule="auto"/>
        <w:ind w:firstLine="420" w:firstLineChars="200"/>
        <w:rPr>
          <w:rFonts w:hAnsi="宋体"/>
          <w:color w:val="000000"/>
          <w:sz w:val="21"/>
          <w:szCs w:val="21"/>
        </w:rPr>
      </w:pPr>
      <w:r>
        <w:rPr>
          <w:rFonts w:hint="eastAsia" w:hAnsi="宋体"/>
          <w:color w:val="000000"/>
          <w:sz w:val="21"/>
          <w:szCs w:val="21"/>
        </w:rPr>
        <w:t>2、“招标代理机构”系指：华信咨询设计研究院有限公司</w:t>
      </w:r>
    </w:p>
    <w:p w14:paraId="72739B83">
      <w:pPr>
        <w:pStyle w:val="15"/>
        <w:snapToGrid w:val="0"/>
        <w:spacing w:before="156" w:after="156" w:line="360" w:lineRule="auto"/>
        <w:ind w:firstLine="420" w:firstLineChars="200"/>
        <w:rPr>
          <w:rFonts w:hAnsi="宋体"/>
          <w:color w:val="000000"/>
          <w:sz w:val="21"/>
          <w:szCs w:val="21"/>
        </w:rPr>
      </w:pPr>
      <w:r>
        <w:rPr>
          <w:rFonts w:hint="eastAsia" w:hAnsi="宋体"/>
          <w:color w:val="000000"/>
          <w:sz w:val="21"/>
          <w:szCs w:val="21"/>
        </w:rPr>
        <w:t>3、“投标人”系指向招标人提交投标文件的单位。</w:t>
      </w:r>
    </w:p>
    <w:p w14:paraId="3F9B11C5">
      <w:pPr>
        <w:pStyle w:val="15"/>
        <w:snapToGrid w:val="0"/>
        <w:spacing w:before="156" w:after="156" w:line="360" w:lineRule="auto"/>
        <w:ind w:firstLine="420" w:firstLineChars="200"/>
        <w:rPr>
          <w:rFonts w:hAnsi="宋体"/>
          <w:color w:val="000000"/>
          <w:sz w:val="21"/>
          <w:szCs w:val="21"/>
        </w:rPr>
      </w:pPr>
      <w:r>
        <w:rPr>
          <w:rFonts w:hint="eastAsia" w:hAnsi="宋体"/>
          <w:color w:val="000000"/>
          <w:sz w:val="21"/>
          <w:szCs w:val="21"/>
        </w:rPr>
        <w:t>4、“中标人”系指经评审小组评定，且审查通过，并经公示无异议的合格投标人。</w:t>
      </w:r>
    </w:p>
    <w:p w14:paraId="247C3E38">
      <w:pPr>
        <w:pStyle w:val="15"/>
        <w:snapToGrid w:val="0"/>
        <w:spacing w:before="156" w:after="156" w:line="360" w:lineRule="auto"/>
        <w:ind w:firstLine="420" w:firstLineChars="200"/>
        <w:rPr>
          <w:rFonts w:hAnsi="宋体"/>
          <w:color w:val="000000"/>
          <w:sz w:val="21"/>
          <w:szCs w:val="21"/>
        </w:rPr>
      </w:pPr>
      <w:r>
        <w:rPr>
          <w:rFonts w:hint="eastAsia" w:hAnsi="宋体"/>
          <w:color w:val="000000"/>
          <w:sz w:val="21"/>
          <w:szCs w:val="21"/>
        </w:rPr>
        <w:t>5、“投标人代表”系指全权代表投标人参加本次投标活动并签署投标文件的人，如果投标人代表不是投标人的法定代表人，须持有《法定代表人授权委托书》。</w:t>
      </w:r>
    </w:p>
    <w:p w14:paraId="5810B827">
      <w:pPr>
        <w:pStyle w:val="15"/>
        <w:snapToGrid w:val="0"/>
        <w:spacing w:before="156" w:after="156" w:line="360" w:lineRule="auto"/>
        <w:ind w:firstLine="420" w:firstLineChars="200"/>
        <w:rPr>
          <w:rFonts w:hAnsi="宋体"/>
          <w:color w:val="000000"/>
          <w:sz w:val="21"/>
          <w:szCs w:val="21"/>
        </w:rPr>
      </w:pPr>
      <w:r>
        <w:rPr>
          <w:rFonts w:hint="eastAsia" w:hAnsi="宋体"/>
          <w:color w:val="000000"/>
          <w:sz w:val="21"/>
          <w:szCs w:val="21"/>
        </w:rPr>
        <w:t>6、“服务”系指招标文件规定投标人须承担的服务、培训以及其他类似的义务。</w:t>
      </w:r>
    </w:p>
    <w:p w14:paraId="64803472">
      <w:pPr>
        <w:pStyle w:val="15"/>
        <w:snapToGrid w:val="0"/>
        <w:spacing w:before="156" w:after="156" w:line="360" w:lineRule="auto"/>
        <w:ind w:firstLine="420" w:firstLineChars="200"/>
        <w:rPr>
          <w:rFonts w:hAnsi="宋体"/>
          <w:color w:val="000000"/>
          <w:sz w:val="21"/>
          <w:szCs w:val="21"/>
        </w:rPr>
      </w:pPr>
      <w:r>
        <w:rPr>
          <w:rFonts w:hint="eastAsia" w:hAnsi="宋体"/>
          <w:color w:val="000000"/>
          <w:sz w:val="21"/>
          <w:szCs w:val="21"/>
        </w:rPr>
        <w:t>7、“项目”系指投标人按招标文件规定向招标人提供的服务。</w:t>
      </w:r>
    </w:p>
    <w:p w14:paraId="13962E0B">
      <w:pPr>
        <w:pStyle w:val="15"/>
        <w:snapToGrid w:val="0"/>
        <w:spacing w:before="156" w:after="156" w:line="360" w:lineRule="auto"/>
        <w:ind w:firstLine="420" w:firstLineChars="200"/>
        <w:rPr>
          <w:rFonts w:hAnsi="宋体"/>
          <w:color w:val="000000"/>
          <w:sz w:val="21"/>
          <w:szCs w:val="21"/>
        </w:rPr>
      </w:pPr>
      <w:r>
        <w:rPr>
          <w:rFonts w:hint="eastAsia" w:hAnsi="宋体"/>
          <w:color w:val="000000"/>
          <w:sz w:val="21"/>
          <w:szCs w:val="21"/>
        </w:rPr>
        <w:t>8、“书面形式”包括信函、传真、电子邮件等。或者 “线上形式”是指“海港集团电子招标采购平台”。</w:t>
      </w:r>
    </w:p>
    <w:p w14:paraId="7B1CBDEB">
      <w:pPr>
        <w:pStyle w:val="15"/>
        <w:snapToGrid w:val="0"/>
        <w:spacing w:before="156" w:after="156" w:line="360" w:lineRule="auto"/>
        <w:ind w:firstLine="420" w:firstLineChars="200"/>
        <w:rPr>
          <w:rFonts w:hAnsi="宋体"/>
          <w:color w:val="000000"/>
          <w:sz w:val="21"/>
          <w:szCs w:val="21"/>
        </w:rPr>
      </w:pPr>
      <w:r>
        <w:rPr>
          <w:rFonts w:hint="eastAsia" w:hAnsi="宋体"/>
          <w:color w:val="000000"/>
          <w:sz w:val="21"/>
          <w:szCs w:val="21"/>
        </w:rPr>
        <w:t>9、“集团”系指浙江省海港集团、宁波舟山港集团。</w:t>
      </w:r>
    </w:p>
    <w:p w14:paraId="53EE1FBC">
      <w:pPr>
        <w:pStyle w:val="15"/>
        <w:snapToGrid w:val="0"/>
        <w:spacing w:before="156" w:after="156" w:line="360" w:lineRule="auto"/>
        <w:ind w:firstLine="420" w:firstLineChars="200"/>
        <w:rPr>
          <w:rFonts w:hAnsi="宋体"/>
          <w:color w:val="000000"/>
          <w:sz w:val="21"/>
          <w:szCs w:val="21"/>
        </w:rPr>
      </w:pPr>
      <w:r>
        <w:rPr>
          <w:rFonts w:hint="eastAsia" w:hAnsi="宋体"/>
          <w:color w:val="000000"/>
          <w:sz w:val="21"/>
          <w:szCs w:val="21"/>
        </w:rPr>
        <w:t>10、带“★”条款系指实质性要求条款。</w:t>
      </w:r>
    </w:p>
    <w:p w14:paraId="7066E4CF">
      <w:pPr>
        <w:snapToGrid w:val="0"/>
        <w:spacing w:before="156" w:beforeLines="50" w:line="360" w:lineRule="auto"/>
        <w:ind w:firstLine="413" w:firstLineChars="196"/>
        <w:jc w:val="left"/>
        <w:rPr>
          <w:rFonts w:ascii="宋体" w:hAnsi="宋体"/>
          <w:b/>
          <w:szCs w:val="21"/>
        </w:rPr>
      </w:pPr>
      <w:bookmarkStart w:id="11" w:name="_Toc50128381"/>
      <w:r>
        <w:rPr>
          <w:rFonts w:hint="eastAsia" w:ascii="宋体" w:hAnsi="宋体"/>
          <w:b/>
          <w:szCs w:val="21"/>
        </w:rPr>
        <w:t>（三）招标方式</w:t>
      </w:r>
      <w:bookmarkEnd w:id="11"/>
    </w:p>
    <w:p w14:paraId="5728C44F">
      <w:pPr>
        <w:snapToGrid w:val="0"/>
        <w:spacing w:line="360" w:lineRule="auto"/>
        <w:ind w:firstLine="420" w:firstLineChars="200"/>
        <w:jc w:val="left"/>
        <w:rPr>
          <w:rFonts w:ascii="宋体" w:hAnsi="宋体"/>
          <w:color w:val="000000"/>
          <w:szCs w:val="21"/>
        </w:rPr>
      </w:pPr>
      <w:r>
        <w:rPr>
          <w:rFonts w:ascii="宋体" w:hAnsi="宋体"/>
          <w:color w:val="000000"/>
          <w:szCs w:val="21"/>
        </w:rPr>
        <w:t>本次招标采用公开招标方式进行。</w:t>
      </w:r>
    </w:p>
    <w:p w14:paraId="0ACD0264">
      <w:pPr>
        <w:snapToGrid w:val="0"/>
        <w:spacing w:before="156" w:beforeLines="50" w:line="360" w:lineRule="auto"/>
        <w:ind w:firstLine="413" w:firstLineChars="196"/>
        <w:jc w:val="left"/>
        <w:rPr>
          <w:rFonts w:ascii="宋体" w:hAnsi="宋体"/>
          <w:b/>
          <w:color w:val="000000"/>
          <w:szCs w:val="21"/>
        </w:rPr>
      </w:pPr>
      <w:bookmarkStart w:id="12" w:name="_Toc50128382"/>
      <w:r>
        <w:rPr>
          <w:rFonts w:hint="eastAsia" w:ascii="宋体" w:hAnsi="宋体"/>
          <w:b/>
          <w:color w:val="000000"/>
          <w:szCs w:val="21"/>
        </w:rPr>
        <w:t>（四）投标委托</w:t>
      </w:r>
      <w:bookmarkEnd w:id="12"/>
    </w:p>
    <w:p w14:paraId="549D3622">
      <w:pPr>
        <w:pStyle w:val="11"/>
        <w:snapToGrid w:val="0"/>
        <w:spacing w:line="360" w:lineRule="auto"/>
        <w:ind w:left="0" w:leftChars="0" w:firstLine="422" w:firstLineChars="200"/>
        <w:jc w:val="left"/>
        <w:rPr>
          <w:rFonts w:hAnsi="宋体"/>
          <w:color w:val="000000"/>
          <w:szCs w:val="21"/>
        </w:rPr>
      </w:pPr>
      <w:r>
        <w:rPr>
          <w:rFonts w:hint="eastAsia" w:asciiTheme="minorEastAsia" w:hAnsiTheme="minorEastAsia" w:eastAsiaTheme="minorEastAsia"/>
          <w:b/>
          <w:szCs w:val="21"/>
        </w:rPr>
        <w:t>提供法定代表人授权委托书及授权代表有效身份证明（若为法定代表人参加投标活动的提供法定代表人有效身份证明、企业法人营业执照）。</w:t>
      </w:r>
    </w:p>
    <w:p w14:paraId="2F9E11AD">
      <w:pPr>
        <w:snapToGrid w:val="0"/>
        <w:spacing w:before="156" w:beforeLines="50" w:line="360" w:lineRule="auto"/>
        <w:ind w:firstLine="413" w:firstLineChars="196"/>
        <w:jc w:val="left"/>
        <w:rPr>
          <w:rFonts w:ascii="宋体" w:hAnsi="宋体"/>
          <w:b/>
          <w:color w:val="000000"/>
          <w:szCs w:val="21"/>
        </w:rPr>
      </w:pPr>
      <w:bookmarkStart w:id="13" w:name="_Toc50128383"/>
      <w:r>
        <w:rPr>
          <w:rFonts w:hint="eastAsia" w:ascii="宋体" w:hAnsi="宋体"/>
          <w:b/>
          <w:color w:val="000000"/>
          <w:szCs w:val="21"/>
        </w:rPr>
        <w:t>（五）投标费用</w:t>
      </w:r>
      <w:bookmarkEnd w:id="13"/>
    </w:p>
    <w:p w14:paraId="3BBADA8F">
      <w:pPr>
        <w:snapToGrid w:val="0"/>
        <w:spacing w:line="360" w:lineRule="auto"/>
        <w:ind w:firstLine="420" w:firstLineChars="200"/>
        <w:jc w:val="left"/>
        <w:rPr>
          <w:rFonts w:ascii="宋体" w:hAnsi="宋体"/>
          <w:color w:val="000000"/>
          <w:szCs w:val="21"/>
        </w:rPr>
      </w:pPr>
      <w:r>
        <w:rPr>
          <w:rFonts w:hint="eastAsia" w:ascii="宋体" w:hAnsi="宋体"/>
          <w:color w:val="000000"/>
          <w:szCs w:val="21"/>
        </w:rPr>
        <w:t>不论投标结果如何，投标人均应自行承担所有与投标有关的全部费用（招标文件有相反规定除外）。</w:t>
      </w:r>
    </w:p>
    <w:p w14:paraId="73782E28">
      <w:pPr>
        <w:snapToGrid w:val="0"/>
        <w:spacing w:before="156" w:beforeLines="50" w:line="360" w:lineRule="auto"/>
        <w:ind w:firstLine="413" w:firstLineChars="196"/>
        <w:jc w:val="left"/>
        <w:rPr>
          <w:rFonts w:ascii="宋体" w:hAnsi="宋体"/>
          <w:b/>
          <w:color w:val="000000"/>
          <w:szCs w:val="21"/>
        </w:rPr>
      </w:pPr>
      <w:r>
        <w:rPr>
          <w:rFonts w:hint="eastAsia" w:ascii="宋体" w:hAnsi="宋体"/>
          <w:b/>
          <w:color w:val="000000"/>
          <w:szCs w:val="21"/>
        </w:rPr>
        <w:t>（六）联合体投标</w:t>
      </w:r>
    </w:p>
    <w:p w14:paraId="1474291F">
      <w:pPr>
        <w:snapToGrid w:val="0"/>
        <w:spacing w:line="360" w:lineRule="auto"/>
        <w:ind w:firstLine="315" w:firstLineChars="150"/>
        <w:jc w:val="left"/>
        <w:rPr>
          <w:rFonts w:ascii="宋体" w:hAnsi="宋体"/>
          <w:color w:val="000000"/>
          <w:szCs w:val="21"/>
        </w:rPr>
      </w:pPr>
      <w:r>
        <w:rPr>
          <w:rFonts w:hint="eastAsia" w:ascii="宋体" w:hAnsi="宋体" w:cs="Arial"/>
          <w:color w:val="000000"/>
          <w:szCs w:val="21"/>
        </w:rPr>
        <w:t>本项目</w:t>
      </w:r>
      <w:r>
        <w:rPr>
          <w:rFonts w:hint="eastAsia" w:ascii="宋体" w:hAnsi="宋体" w:cs="Arial"/>
          <w:color w:val="000000"/>
          <w:szCs w:val="21"/>
          <w:u w:val="single"/>
        </w:rPr>
        <w:t>不允许</w:t>
      </w:r>
      <w:r>
        <w:rPr>
          <w:rFonts w:hint="eastAsia" w:ascii="宋体" w:hAnsi="宋体" w:cs="Arial"/>
          <w:color w:val="000000"/>
          <w:szCs w:val="21"/>
        </w:rPr>
        <w:t>联合体投标。</w:t>
      </w:r>
    </w:p>
    <w:p w14:paraId="725C3D3F">
      <w:pPr>
        <w:snapToGrid w:val="0"/>
        <w:spacing w:line="440" w:lineRule="exact"/>
        <w:ind w:firstLine="433" w:firstLineChars="196"/>
        <w:jc w:val="left"/>
        <w:rPr>
          <w:rFonts w:ascii="宋体" w:hAnsi="宋体" w:cs="宋体"/>
          <w:b/>
          <w:color w:val="000000"/>
          <w:sz w:val="22"/>
          <w:szCs w:val="22"/>
        </w:rPr>
      </w:pPr>
      <w:r>
        <w:rPr>
          <w:rFonts w:hint="eastAsia" w:ascii="宋体" w:hAnsi="宋体" w:cs="宋体"/>
          <w:b/>
          <w:color w:val="000000"/>
          <w:sz w:val="22"/>
          <w:szCs w:val="22"/>
        </w:rPr>
        <w:t>（七）转包与分包</w:t>
      </w:r>
    </w:p>
    <w:p w14:paraId="35344938">
      <w:pPr>
        <w:snapToGrid w:val="0"/>
        <w:spacing w:line="440" w:lineRule="exact"/>
        <w:ind w:firstLine="442" w:firstLineChars="200"/>
        <w:jc w:val="left"/>
        <w:rPr>
          <w:rFonts w:ascii="宋体" w:hAnsi="宋体" w:cs="宋体"/>
          <w:color w:val="000000"/>
          <w:kern w:val="0"/>
          <w:sz w:val="22"/>
          <w:szCs w:val="22"/>
        </w:rPr>
      </w:pPr>
      <w:r>
        <w:rPr>
          <w:rFonts w:hint="eastAsia" w:ascii="宋体" w:hAnsi="宋体" w:cs="宋体"/>
          <w:b/>
          <w:color w:val="000000"/>
          <w:sz w:val="22"/>
          <w:szCs w:val="22"/>
        </w:rPr>
        <w:t>★</w:t>
      </w:r>
      <w:r>
        <w:rPr>
          <w:rFonts w:hint="eastAsia" w:ascii="宋体" w:hAnsi="宋体" w:cs="宋体"/>
          <w:color w:val="000000"/>
          <w:kern w:val="0"/>
          <w:sz w:val="22"/>
          <w:szCs w:val="22"/>
        </w:rPr>
        <w:t>本项目不允许分包转包</w:t>
      </w:r>
    </w:p>
    <w:p w14:paraId="31B11A87">
      <w:pPr>
        <w:snapToGrid w:val="0"/>
        <w:spacing w:line="440" w:lineRule="exact"/>
        <w:ind w:firstLine="433" w:firstLineChars="196"/>
        <w:jc w:val="left"/>
        <w:rPr>
          <w:rFonts w:ascii="宋体" w:hAnsi="宋体" w:cs="宋体"/>
          <w:b/>
          <w:color w:val="000000"/>
          <w:sz w:val="22"/>
          <w:szCs w:val="22"/>
        </w:rPr>
      </w:pPr>
      <w:bookmarkStart w:id="14" w:name="_Toc50128384"/>
      <w:r>
        <w:rPr>
          <w:rFonts w:hint="eastAsia" w:ascii="宋体" w:hAnsi="宋体" w:cs="宋体"/>
          <w:b/>
          <w:color w:val="000000"/>
          <w:sz w:val="22"/>
          <w:szCs w:val="22"/>
        </w:rPr>
        <w:t>（八）特别说明：</w:t>
      </w:r>
      <w:bookmarkEnd w:id="14"/>
    </w:p>
    <w:p w14:paraId="3A4EE40E">
      <w:pPr>
        <w:snapToGrid w:val="0"/>
        <w:spacing w:line="440" w:lineRule="exact"/>
        <w:ind w:firstLine="433" w:firstLineChars="196"/>
        <w:jc w:val="left"/>
        <w:rPr>
          <w:rFonts w:ascii="宋体" w:hAnsi="宋体" w:cs="宋体"/>
          <w:b/>
          <w:bCs/>
          <w:color w:val="000000"/>
          <w:kern w:val="0"/>
          <w:sz w:val="22"/>
          <w:szCs w:val="22"/>
        </w:rPr>
      </w:pPr>
      <w:bookmarkStart w:id="15" w:name="_Toc50128388"/>
      <w:r>
        <w:rPr>
          <w:rFonts w:hint="eastAsia" w:ascii="宋体" w:hAnsi="宋体" w:cs="宋体"/>
          <w:b/>
          <w:bCs/>
          <w:color w:val="000000"/>
          <w:kern w:val="0"/>
          <w:sz w:val="22"/>
          <w:szCs w:val="22"/>
        </w:rPr>
        <w:t>1. 本项目不属于依法必须招标项目，也不属于政府采购项目。</w:t>
      </w:r>
    </w:p>
    <w:p w14:paraId="0DA9366B">
      <w:pPr>
        <w:snapToGrid w:val="0"/>
        <w:spacing w:line="440" w:lineRule="exact"/>
        <w:ind w:firstLine="433" w:firstLineChars="196"/>
        <w:jc w:val="left"/>
        <w:rPr>
          <w:rFonts w:ascii="宋体" w:hAnsi="宋体" w:cs="宋体"/>
          <w:b/>
          <w:bCs/>
          <w:color w:val="000000"/>
          <w:kern w:val="0"/>
          <w:sz w:val="22"/>
          <w:szCs w:val="22"/>
        </w:rPr>
      </w:pPr>
      <w:r>
        <w:rPr>
          <w:rFonts w:hint="eastAsia" w:ascii="宋体" w:hAnsi="宋体" w:cs="宋体"/>
          <w:b/>
          <w:bCs/>
          <w:color w:val="000000"/>
          <w:kern w:val="0"/>
          <w:sz w:val="22"/>
          <w:szCs w:val="22"/>
        </w:rPr>
        <w:t>★2. 投标人投标所使用的资格、信誉、荣誉与企业认证必须为本法人（或负责人）所拥有。</w:t>
      </w:r>
    </w:p>
    <w:p w14:paraId="24971374">
      <w:pPr>
        <w:snapToGrid w:val="0"/>
        <w:spacing w:line="440" w:lineRule="exact"/>
        <w:ind w:firstLine="433" w:firstLineChars="196"/>
        <w:jc w:val="left"/>
        <w:rPr>
          <w:rFonts w:ascii="宋体" w:hAnsi="宋体" w:cs="宋体"/>
          <w:b/>
          <w:bCs/>
          <w:color w:val="000000"/>
          <w:kern w:val="0"/>
          <w:sz w:val="22"/>
          <w:szCs w:val="22"/>
        </w:rPr>
      </w:pPr>
      <w:r>
        <w:rPr>
          <w:rFonts w:hint="eastAsia" w:ascii="宋体" w:hAnsi="宋体" w:cs="宋体"/>
          <w:b/>
          <w:bCs/>
          <w:color w:val="000000"/>
          <w:kern w:val="0"/>
          <w:sz w:val="22"/>
          <w:szCs w:val="22"/>
        </w:rPr>
        <w:t>★3. 投标人应仔细阅读招标文件的所有内容，按照招标文件的要求提交投标文件，并对所提供的全部资料的真实性承担法律责任。</w:t>
      </w:r>
    </w:p>
    <w:p w14:paraId="363406EA">
      <w:pPr>
        <w:snapToGrid w:val="0"/>
        <w:spacing w:line="440" w:lineRule="exact"/>
        <w:ind w:firstLine="433" w:firstLineChars="196"/>
        <w:jc w:val="left"/>
        <w:rPr>
          <w:rFonts w:ascii="宋体" w:hAnsi="宋体" w:cs="宋体"/>
          <w:b/>
          <w:bCs/>
          <w:color w:val="000000"/>
          <w:kern w:val="0"/>
          <w:sz w:val="22"/>
          <w:szCs w:val="22"/>
        </w:rPr>
      </w:pPr>
      <w:r>
        <w:rPr>
          <w:rFonts w:hint="eastAsia" w:ascii="宋体" w:hAnsi="宋体" w:cs="宋体"/>
          <w:b/>
          <w:bCs/>
          <w:color w:val="000000"/>
          <w:kern w:val="0"/>
          <w:sz w:val="22"/>
          <w:szCs w:val="22"/>
        </w:rPr>
        <w:t>（九）</w:t>
      </w:r>
      <w:bookmarkEnd w:id="15"/>
      <w:r>
        <w:rPr>
          <w:rFonts w:hint="eastAsia" w:ascii="宋体" w:hAnsi="宋体" w:cs="宋体"/>
          <w:b/>
          <w:bCs/>
          <w:color w:val="000000"/>
          <w:kern w:val="0"/>
          <w:sz w:val="22"/>
          <w:szCs w:val="22"/>
        </w:rPr>
        <w:t>异议和投诉</w:t>
      </w:r>
    </w:p>
    <w:p w14:paraId="777C9D70">
      <w:pPr>
        <w:snapToGrid w:val="0"/>
        <w:spacing w:line="440" w:lineRule="exact"/>
        <w:ind w:firstLine="420" w:firstLineChars="200"/>
        <w:jc w:val="left"/>
        <w:rPr>
          <w:rFonts w:ascii="宋体" w:hAnsi="宋体"/>
          <w:bCs/>
          <w:color w:val="000000"/>
          <w:kern w:val="0"/>
          <w:szCs w:val="21"/>
        </w:rPr>
      </w:pPr>
      <w:r>
        <w:rPr>
          <w:rFonts w:hint="eastAsia" w:ascii="宋体" w:hAnsi="宋体"/>
          <w:bCs/>
          <w:color w:val="000000"/>
          <w:kern w:val="0"/>
          <w:szCs w:val="21"/>
        </w:rPr>
        <w:t>1.投标人对招标文件有异议的，应当在投标截止时间10日前提出；投标人对评标结果有异议的，应当在评标结果公示期间提出，逾期不予受理。</w:t>
      </w:r>
    </w:p>
    <w:p w14:paraId="0DC438F7">
      <w:pPr>
        <w:snapToGrid w:val="0"/>
        <w:spacing w:line="440" w:lineRule="exact"/>
        <w:ind w:firstLine="420" w:firstLineChars="200"/>
        <w:jc w:val="left"/>
        <w:rPr>
          <w:rFonts w:ascii="宋体" w:hAnsi="宋体"/>
          <w:bCs/>
          <w:color w:val="000000"/>
          <w:kern w:val="0"/>
          <w:szCs w:val="21"/>
        </w:rPr>
      </w:pPr>
      <w:r>
        <w:rPr>
          <w:rFonts w:hint="eastAsia" w:ascii="宋体" w:hAnsi="宋体"/>
          <w:bCs/>
          <w:color w:val="000000"/>
          <w:kern w:val="0"/>
          <w:szCs w:val="21"/>
        </w:rPr>
        <w:t>2.异议应当在浙江海港电子招标采购平台上提出，投诉应当以书面形式提出。异议书、投诉书均应明确阐述招标文件、招标过程或中标结果中使自己合法权益受到损害的实质性内容，提供相关事实、依据和证据及其来源或线索，便于有关单位调查、答复和处理。</w:t>
      </w:r>
    </w:p>
    <w:p w14:paraId="5ADFC658">
      <w:pPr>
        <w:pStyle w:val="21"/>
        <w:rPr>
          <w:sz w:val="28"/>
        </w:rPr>
      </w:pPr>
      <w:bookmarkStart w:id="16" w:name="_Toc527495450"/>
      <w:bookmarkStart w:id="17" w:name="_Toc430"/>
      <w:bookmarkStart w:id="18" w:name="_Toc50128389"/>
      <w:r>
        <w:rPr>
          <w:sz w:val="28"/>
        </w:rPr>
        <w:t>二招标文件</w:t>
      </w:r>
      <w:bookmarkEnd w:id="16"/>
      <w:bookmarkEnd w:id="17"/>
      <w:bookmarkEnd w:id="18"/>
    </w:p>
    <w:p w14:paraId="5EADA87C">
      <w:pPr>
        <w:snapToGrid w:val="0"/>
        <w:spacing w:line="360" w:lineRule="auto"/>
        <w:ind w:firstLine="413" w:firstLineChars="196"/>
        <w:jc w:val="left"/>
        <w:rPr>
          <w:rFonts w:ascii="宋体" w:hAnsi="宋体"/>
          <w:b/>
          <w:color w:val="000000"/>
          <w:szCs w:val="21"/>
        </w:rPr>
      </w:pPr>
      <w:r>
        <w:rPr>
          <w:rFonts w:hint="eastAsia" w:ascii="宋体" w:hAnsi="宋体"/>
          <w:b/>
          <w:color w:val="000000"/>
          <w:szCs w:val="21"/>
        </w:rPr>
        <w:t>（一）招标文件的构成。本招标文件由以下部份组成：</w:t>
      </w:r>
    </w:p>
    <w:p w14:paraId="2C961E9A">
      <w:pPr>
        <w:snapToGrid w:val="0"/>
        <w:spacing w:line="360" w:lineRule="auto"/>
        <w:ind w:firstLine="420" w:firstLineChars="200"/>
        <w:jc w:val="left"/>
        <w:rPr>
          <w:rFonts w:ascii="宋体" w:hAnsi="宋体"/>
          <w:color w:val="000000"/>
          <w:szCs w:val="21"/>
        </w:rPr>
      </w:pPr>
      <w:r>
        <w:rPr>
          <w:rFonts w:ascii="宋体" w:hAnsi="宋体"/>
          <w:color w:val="000000"/>
          <w:szCs w:val="21"/>
        </w:rPr>
        <w:t>1</w:t>
      </w:r>
      <w:r>
        <w:rPr>
          <w:rFonts w:hint="eastAsia" w:ascii="宋体" w:hAnsi="宋体"/>
          <w:color w:val="000000"/>
          <w:szCs w:val="21"/>
        </w:rPr>
        <w:t>.</w:t>
      </w:r>
      <w:r>
        <w:rPr>
          <w:rFonts w:ascii="宋体" w:hAnsi="宋体"/>
          <w:color w:val="000000"/>
          <w:szCs w:val="21"/>
        </w:rPr>
        <w:t>招标公告</w:t>
      </w:r>
    </w:p>
    <w:p w14:paraId="158AD74A">
      <w:pPr>
        <w:snapToGrid w:val="0"/>
        <w:spacing w:line="360" w:lineRule="auto"/>
        <w:ind w:firstLine="420" w:firstLineChars="200"/>
        <w:jc w:val="left"/>
        <w:rPr>
          <w:rFonts w:ascii="宋体" w:hAnsi="宋体"/>
          <w:color w:val="000000"/>
          <w:szCs w:val="21"/>
        </w:rPr>
      </w:pPr>
      <w:r>
        <w:rPr>
          <w:rFonts w:ascii="宋体" w:hAnsi="宋体"/>
          <w:color w:val="000000"/>
          <w:szCs w:val="21"/>
        </w:rPr>
        <w:t>2</w:t>
      </w:r>
      <w:r>
        <w:rPr>
          <w:rFonts w:hint="eastAsia" w:ascii="宋体" w:hAnsi="宋体"/>
          <w:color w:val="000000"/>
          <w:szCs w:val="21"/>
        </w:rPr>
        <w:t>.</w:t>
      </w:r>
      <w:r>
        <w:rPr>
          <w:rFonts w:ascii="宋体" w:hAnsi="宋体"/>
          <w:color w:val="000000"/>
          <w:szCs w:val="21"/>
        </w:rPr>
        <w:t>招标需求</w:t>
      </w:r>
    </w:p>
    <w:p w14:paraId="0E2B2A99">
      <w:pPr>
        <w:snapToGrid w:val="0"/>
        <w:spacing w:line="360" w:lineRule="auto"/>
        <w:ind w:firstLine="420" w:firstLineChars="200"/>
        <w:jc w:val="left"/>
        <w:rPr>
          <w:rFonts w:ascii="宋体" w:hAnsi="宋体"/>
          <w:color w:val="000000"/>
          <w:szCs w:val="21"/>
        </w:rPr>
      </w:pPr>
      <w:r>
        <w:rPr>
          <w:rFonts w:ascii="宋体" w:hAnsi="宋体"/>
          <w:color w:val="000000"/>
          <w:szCs w:val="21"/>
        </w:rPr>
        <w:t>3</w:t>
      </w:r>
      <w:r>
        <w:rPr>
          <w:rFonts w:hint="eastAsia" w:ascii="宋体" w:hAnsi="宋体"/>
          <w:color w:val="000000"/>
          <w:szCs w:val="21"/>
        </w:rPr>
        <w:t>.</w:t>
      </w:r>
      <w:r>
        <w:rPr>
          <w:rFonts w:ascii="宋体" w:hAnsi="宋体"/>
          <w:color w:val="000000"/>
          <w:szCs w:val="21"/>
        </w:rPr>
        <w:t>投标人须知</w:t>
      </w:r>
    </w:p>
    <w:p w14:paraId="68C18B94">
      <w:pPr>
        <w:snapToGrid w:val="0"/>
        <w:spacing w:line="360" w:lineRule="auto"/>
        <w:ind w:firstLine="420" w:firstLineChars="200"/>
        <w:jc w:val="left"/>
        <w:rPr>
          <w:rFonts w:ascii="宋体" w:hAnsi="宋体"/>
          <w:color w:val="000000"/>
          <w:szCs w:val="21"/>
        </w:rPr>
      </w:pPr>
      <w:r>
        <w:rPr>
          <w:rFonts w:ascii="宋体" w:hAnsi="宋体"/>
          <w:color w:val="000000"/>
          <w:szCs w:val="21"/>
        </w:rPr>
        <w:t>4</w:t>
      </w:r>
      <w:r>
        <w:rPr>
          <w:rFonts w:hint="eastAsia" w:ascii="宋体" w:hAnsi="宋体"/>
          <w:color w:val="000000"/>
          <w:szCs w:val="21"/>
        </w:rPr>
        <w:t>.</w:t>
      </w:r>
      <w:r>
        <w:rPr>
          <w:rFonts w:ascii="宋体" w:hAnsi="宋体"/>
          <w:color w:val="000000"/>
          <w:szCs w:val="21"/>
        </w:rPr>
        <w:t>评标办法及</w:t>
      </w:r>
      <w:r>
        <w:rPr>
          <w:rFonts w:hint="eastAsia" w:ascii="宋体" w:hAnsi="宋体"/>
          <w:color w:val="000000"/>
          <w:szCs w:val="21"/>
        </w:rPr>
        <w:t>评分</w:t>
      </w:r>
      <w:r>
        <w:rPr>
          <w:rFonts w:ascii="宋体" w:hAnsi="宋体"/>
          <w:color w:val="000000"/>
          <w:szCs w:val="21"/>
        </w:rPr>
        <w:t>标准</w:t>
      </w:r>
    </w:p>
    <w:p w14:paraId="7BCEB5FD">
      <w:pPr>
        <w:snapToGrid w:val="0"/>
        <w:spacing w:line="360" w:lineRule="auto"/>
        <w:ind w:firstLine="420" w:firstLineChars="200"/>
        <w:jc w:val="left"/>
        <w:rPr>
          <w:rFonts w:ascii="宋体" w:hAnsi="宋体"/>
          <w:color w:val="000000"/>
          <w:szCs w:val="21"/>
        </w:rPr>
      </w:pPr>
      <w:r>
        <w:rPr>
          <w:rFonts w:ascii="宋体" w:hAnsi="宋体"/>
          <w:color w:val="000000"/>
          <w:szCs w:val="21"/>
        </w:rPr>
        <w:t>5</w:t>
      </w:r>
      <w:r>
        <w:rPr>
          <w:rFonts w:hint="eastAsia" w:ascii="宋体" w:hAnsi="宋体"/>
          <w:color w:val="000000"/>
          <w:szCs w:val="21"/>
        </w:rPr>
        <w:t>.</w:t>
      </w:r>
      <w:r>
        <w:rPr>
          <w:rFonts w:ascii="宋体" w:hAnsi="宋体"/>
          <w:color w:val="000000"/>
          <w:szCs w:val="21"/>
        </w:rPr>
        <w:t>合同主要条款</w:t>
      </w:r>
    </w:p>
    <w:p w14:paraId="3A771D60">
      <w:pPr>
        <w:snapToGrid w:val="0"/>
        <w:spacing w:line="360" w:lineRule="auto"/>
        <w:ind w:firstLine="420" w:firstLineChars="200"/>
        <w:jc w:val="left"/>
        <w:rPr>
          <w:rFonts w:ascii="宋体" w:hAnsi="宋体"/>
          <w:color w:val="000000"/>
          <w:szCs w:val="21"/>
        </w:rPr>
      </w:pPr>
      <w:r>
        <w:rPr>
          <w:rFonts w:hint="eastAsia" w:ascii="宋体" w:hAnsi="宋体"/>
          <w:color w:val="000000"/>
          <w:szCs w:val="21"/>
        </w:rPr>
        <w:t>6.</w:t>
      </w:r>
      <w:r>
        <w:rPr>
          <w:rFonts w:ascii="宋体" w:hAnsi="宋体"/>
          <w:color w:val="000000"/>
          <w:szCs w:val="21"/>
        </w:rPr>
        <w:t xml:space="preserve"> 投标文件格式</w:t>
      </w:r>
    </w:p>
    <w:p w14:paraId="2EAE2496">
      <w:pPr>
        <w:snapToGrid w:val="0"/>
        <w:spacing w:line="360" w:lineRule="auto"/>
        <w:ind w:firstLine="420" w:firstLineChars="200"/>
        <w:jc w:val="left"/>
        <w:rPr>
          <w:rFonts w:ascii="宋体" w:hAnsi="宋体"/>
          <w:color w:val="000000"/>
          <w:szCs w:val="21"/>
        </w:rPr>
      </w:pPr>
      <w:r>
        <w:rPr>
          <w:rFonts w:hint="eastAsia" w:ascii="宋体" w:hAnsi="宋体"/>
          <w:color w:val="000000"/>
          <w:szCs w:val="21"/>
        </w:rPr>
        <w:t>7.本项目</w:t>
      </w:r>
      <w:r>
        <w:rPr>
          <w:rFonts w:ascii="宋体" w:hAnsi="宋体"/>
          <w:color w:val="000000"/>
          <w:szCs w:val="21"/>
        </w:rPr>
        <w:t>招标文件</w:t>
      </w:r>
      <w:r>
        <w:rPr>
          <w:rFonts w:hint="eastAsia" w:ascii="宋体" w:hAnsi="宋体"/>
          <w:color w:val="000000"/>
          <w:szCs w:val="21"/>
        </w:rPr>
        <w:t>的</w:t>
      </w:r>
      <w:r>
        <w:rPr>
          <w:rFonts w:ascii="宋体" w:hAnsi="宋体"/>
          <w:color w:val="000000"/>
          <w:szCs w:val="21"/>
        </w:rPr>
        <w:t>澄清、答复、修改、补充的内容</w:t>
      </w:r>
    </w:p>
    <w:p w14:paraId="357156E8">
      <w:pPr>
        <w:snapToGrid w:val="0"/>
        <w:spacing w:before="156" w:beforeLines="50" w:line="360" w:lineRule="auto"/>
        <w:ind w:firstLine="413" w:firstLineChars="196"/>
        <w:jc w:val="left"/>
        <w:rPr>
          <w:rFonts w:ascii="宋体" w:hAnsi="宋体"/>
          <w:b/>
          <w:color w:val="000000"/>
          <w:szCs w:val="21"/>
        </w:rPr>
      </w:pPr>
      <w:r>
        <w:rPr>
          <w:rFonts w:hint="eastAsia" w:ascii="宋体" w:hAnsi="宋体"/>
          <w:b/>
          <w:color w:val="000000"/>
          <w:szCs w:val="21"/>
        </w:rPr>
        <w:t>（二）投标人的风险</w:t>
      </w:r>
    </w:p>
    <w:p w14:paraId="35969E87">
      <w:pPr>
        <w:pStyle w:val="22"/>
        <w:spacing w:line="360" w:lineRule="auto"/>
        <w:ind w:left="141" w:leftChars="67" w:firstLine="426"/>
        <w:rPr>
          <w:rFonts w:ascii="宋体"/>
          <w:sz w:val="21"/>
          <w:szCs w:val="21"/>
        </w:rPr>
      </w:pPr>
      <w:r>
        <w:rPr>
          <w:rFonts w:hint="eastAsia" w:ascii="宋体"/>
          <w:sz w:val="21"/>
          <w:szCs w:val="21"/>
        </w:rPr>
        <w:t>投标人没有按照招标文件要求提供全部资料，或者投标人没有对招标文件在各方面作出实质性响应是投标人的风险，并可能导致其投标被拒绝。</w:t>
      </w:r>
    </w:p>
    <w:p w14:paraId="0AB6BB96">
      <w:pPr>
        <w:pStyle w:val="4"/>
        <w:numPr>
          <w:ilvl w:val="0"/>
          <w:numId w:val="0"/>
        </w:numPr>
        <w:snapToGrid w:val="0"/>
        <w:spacing w:before="156" w:beforeLines="50" w:after="156" w:line="360" w:lineRule="auto"/>
        <w:ind w:left="426"/>
        <w:rPr>
          <w:rFonts w:ascii="宋体" w:hAnsi="宋体"/>
          <w:b/>
          <w:color w:val="000000"/>
          <w:szCs w:val="21"/>
        </w:rPr>
      </w:pPr>
      <w:r>
        <w:rPr>
          <w:rFonts w:hint="eastAsia" w:ascii="宋体" w:hAnsi="宋体"/>
          <w:b/>
          <w:color w:val="000000"/>
          <w:szCs w:val="21"/>
        </w:rPr>
        <w:t>（三）招标文件的澄清与修改</w:t>
      </w:r>
    </w:p>
    <w:p w14:paraId="454CC03B">
      <w:pPr>
        <w:pStyle w:val="15"/>
        <w:snapToGrid w:val="0"/>
        <w:spacing w:before="156" w:after="156" w:line="360" w:lineRule="auto"/>
        <w:ind w:firstLine="420" w:firstLineChars="200"/>
        <w:rPr>
          <w:rFonts w:hAnsi="宋体"/>
          <w:color w:val="000000"/>
          <w:sz w:val="21"/>
          <w:szCs w:val="21"/>
        </w:rPr>
      </w:pPr>
      <w:r>
        <w:rPr>
          <w:rFonts w:hint="eastAsia" w:hAnsi="宋体"/>
          <w:color w:val="000000"/>
          <w:sz w:val="21"/>
          <w:szCs w:val="21"/>
        </w:rPr>
        <w:t>1.招标人对已发出的招标文件进行必要的澄清和修改时，将在招标公告规定的投标截止时间10日前，在规定信息发布网站上通知所有招标文件收受人，并要求收受人经确认澄清和修改已收悉，澄清和修改的内容作为招标文件的组成部分。招标人根据实际情况，延长投标截止时间的，将在投标截止时间前10日内告知所有招标文件收受人，并要求回执确认。</w:t>
      </w:r>
    </w:p>
    <w:p w14:paraId="589B33B7">
      <w:pPr>
        <w:pStyle w:val="15"/>
        <w:snapToGrid w:val="0"/>
        <w:spacing w:before="156" w:after="156" w:line="360" w:lineRule="auto"/>
        <w:ind w:firstLine="420" w:firstLineChars="200"/>
        <w:rPr>
          <w:rFonts w:hAnsi="宋体"/>
          <w:color w:val="000000"/>
          <w:sz w:val="21"/>
          <w:szCs w:val="21"/>
        </w:rPr>
      </w:pPr>
      <w:r>
        <w:rPr>
          <w:rFonts w:hint="eastAsia" w:hAnsi="宋体"/>
          <w:color w:val="000000"/>
          <w:sz w:val="21"/>
          <w:szCs w:val="21"/>
        </w:rPr>
        <w:t>2.获取招标文件的潜在投标人对招标文件有异议，应在投标截止时间10日前书面提出。逾期提出的将不予受理。对招标文件的异议应有法定代表人或其授权代表签章，并盖投标人公章并注明日期。</w:t>
      </w:r>
    </w:p>
    <w:p w14:paraId="13B58865">
      <w:pPr>
        <w:pStyle w:val="15"/>
        <w:snapToGrid w:val="0"/>
        <w:spacing w:before="156" w:after="156" w:line="360" w:lineRule="auto"/>
        <w:ind w:firstLine="420" w:firstLineChars="200"/>
        <w:rPr>
          <w:rFonts w:hAnsi="宋体"/>
          <w:color w:val="000000"/>
          <w:sz w:val="21"/>
          <w:szCs w:val="21"/>
        </w:rPr>
      </w:pPr>
      <w:r>
        <w:rPr>
          <w:rFonts w:hint="eastAsia" w:hAnsi="宋体"/>
          <w:color w:val="000000"/>
          <w:sz w:val="21"/>
          <w:szCs w:val="21"/>
        </w:rPr>
        <w:t>3.没有提出异议且又参与了该项目投标的投标人将被视为完全认同招标文件。</w:t>
      </w:r>
    </w:p>
    <w:p w14:paraId="44FB7C39">
      <w:pPr>
        <w:pStyle w:val="21"/>
        <w:rPr>
          <w:sz w:val="28"/>
        </w:rPr>
      </w:pPr>
      <w:bookmarkStart w:id="19" w:name="_Toc50128390"/>
      <w:r>
        <w:rPr>
          <w:sz w:val="28"/>
        </w:rPr>
        <w:t>三投标文件的编制</w:t>
      </w:r>
      <w:bookmarkEnd w:id="19"/>
    </w:p>
    <w:p w14:paraId="7AA22BF6">
      <w:pPr>
        <w:tabs>
          <w:tab w:val="left" w:pos="540"/>
        </w:tabs>
        <w:spacing w:line="360" w:lineRule="auto"/>
        <w:ind w:firstLine="420" w:firstLineChars="200"/>
        <w:rPr>
          <w:rFonts w:ascii="宋体" w:hAnsi="宋体"/>
          <w:color w:val="000000"/>
          <w:kern w:val="0"/>
          <w:szCs w:val="21"/>
        </w:rPr>
      </w:pPr>
      <w:r>
        <w:rPr>
          <w:rFonts w:hint="eastAsia" w:ascii="宋体" w:hAnsi="宋体"/>
          <w:color w:val="000000"/>
          <w:kern w:val="0"/>
          <w:szCs w:val="21"/>
        </w:rPr>
        <w:t>投标人应认真阅读招标文件中所有事项格式、条款和技术规范等。投标人没有按照招标文件要求提交全部资料，或者没有对招标文件各个方面做出实质性响应，导致投标被拒绝的风险由投标人自行承担。</w:t>
      </w:r>
    </w:p>
    <w:p w14:paraId="53A9BF4E">
      <w:pPr>
        <w:pStyle w:val="41"/>
        <w:snapToGrid w:val="0"/>
        <w:spacing w:line="360" w:lineRule="auto"/>
        <w:jc w:val="left"/>
        <w:rPr>
          <w:rFonts w:ascii="宋体" w:hAnsi="宋体"/>
          <w:color w:val="000000"/>
          <w:kern w:val="0"/>
          <w:szCs w:val="21"/>
        </w:rPr>
      </w:pPr>
      <w:r>
        <w:rPr>
          <w:rFonts w:ascii="宋体" w:hAnsi="宋体"/>
          <w:color w:val="000000"/>
          <w:kern w:val="0"/>
          <w:szCs w:val="21"/>
        </w:rPr>
        <w:t>（</w:t>
      </w:r>
      <w:r>
        <w:rPr>
          <w:rFonts w:hint="eastAsia" w:ascii="宋体" w:hAnsi="宋体"/>
          <w:color w:val="000000"/>
          <w:kern w:val="0"/>
          <w:szCs w:val="21"/>
        </w:rPr>
        <w:t>一</w:t>
      </w:r>
      <w:r>
        <w:rPr>
          <w:rFonts w:ascii="宋体" w:hAnsi="宋体"/>
          <w:color w:val="000000"/>
          <w:kern w:val="0"/>
          <w:szCs w:val="21"/>
        </w:rPr>
        <w:t>）</w:t>
      </w:r>
      <w:r>
        <w:rPr>
          <w:rFonts w:hint="eastAsia" w:ascii="宋体" w:hAnsi="宋体"/>
          <w:color w:val="000000"/>
          <w:kern w:val="0"/>
          <w:szCs w:val="21"/>
        </w:rPr>
        <w:t>投标文件的组成</w:t>
      </w:r>
    </w:p>
    <w:p w14:paraId="0135BB74">
      <w:pPr>
        <w:tabs>
          <w:tab w:val="left" w:pos="360"/>
        </w:tabs>
        <w:spacing w:line="360" w:lineRule="auto"/>
        <w:ind w:firstLine="420" w:firstLineChars="200"/>
        <w:rPr>
          <w:rFonts w:ascii="宋体" w:hAnsi="宋体"/>
          <w:color w:val="000000"/>
          <w:kern w:val="0"/>
          <w:szCs w:val="21"/>
        </w:rPr>
      </w:pPr>
      <w:r>
        <w:rPr>
          <w:rFonts w:hint="eastAsia" w:ascii="宋体" w:hAnsi="宋体"/>
          <w:color w:val="000000"/>
          <w:kern w:val="0"/>
          <w:szCs w:val="21"/>
        </w:rPr>
        <w:t>投标文件分为价格标、商务技术标、资审文件三部分，投标人应分别编制、上传各部分内容，商务技术标、资审文件不得出现本项目的“价格标”内容及投标报价，否则作无效标处理。</w:t>
      </w:r>
    </w:p>
    <w:p w14:paraId="392841A5">
      <w:pPr>
        <w:spacing w:line="360" w:lineRule="auto"/>
        <w:ind w:firstLine="422" w:firstLineChars="200"/>
        <w:rPr>
          <w:rFonts w:ascii="宋体" w:hAnsi="宋体" w:cs="宋体"/>
          <w:b/>
          <w:bCs/>
          <w:szCs w:val="21"/>
          <w:lang w:val="zh-CN"/>
        </w:rPr>
      </w:pPr>
      <w:bookmarkStart w:id="20" w:name="_Toc14400"/>
      <w:r>
        <w:rPr>
          <w:rFonts w:hint="eastAsia" w:ascii="宋体" w:hAnsi="宋体" w:cs="宋体"/>
          <w:b/>
          <w:bCs/>
          <w:szCs w:val="21"/>
          <w:lang w:val="zh-CN"/>
        </w:rPr>
        <w:t>第一部分：</w:t>
      </w:r>
      <w:r>
        <w:rPr>
          <w:rFonts w:hint="eastAsia" w:ascii="宋体" w:hAnsi="宋体" w:cs="宋体"/>
          <w:b/>
          <w:bCs/>
          <w:szCs w:val="21"/>
        </w:rPr>
        <w:t>资格审查文件</w:t>
      </w:r>
      <w:r>
        <w:rPr>
          <w:rFonts w:hint="eastAsia" w:ascii="宋体" w:hAnsi="宋体" w:cs="宋体"/>
          <w:b/>
          <w:sz w:val="22"/>
          <w:szCs w:val="22"/>
        </w:rPr>
        <w:t>（★不得出现本项目的“价格标”内容及投标报价，否则作无效标</w:t>
      </w:r>
    </w:p>
    <w:p w14:paraId="49840BA7">
      <w:pPr>
        <w:spacing w:line="360" w:lineRule="auto"/>
        <w:ind w:firstLine="420" w:firstLineChars="200"/>
        <w:rPr>
          <w:rFonts w:ascii="宋体" w:hAnsi="宋体" w:cs="宋体"/>
          <w:szCs w:val="21"/>
          <w:lang w:val="zh-CN"/>
        </w:rPr>
      </w:pPr>
      <w:r>
        <w:rPr>
          <w:rFonts w:hint="eastAsia" w:ascii="宋体" w:hAnsi="宋体" w:cs="宋体"/>
          <w:szCs w:val="21"/>
          <w:lang w:val="zh-CN"/>
        </w:rPr>
        <w:t>（1</w:t>
      </w:r>
      <w:r>
        <w:rPr>
          <w:rFonts w:hint="eastAsia" w:ascii="宋体" w:hAnsi="宋体" w:cs="宋体"/>
          <w:szCs w:val="21"/>
        </w:rPr>
        <w:t>.1</w:t>
      </w:r>
      <w:r>
        <w:rPr>
          <w:rFonts w:hint="eastAsia" w:ascii="宋体" w:hAnsi="宋体" w:cs="宋体"/>
          <w:szCs w:val="21"/>
          <w:lang w:val="zh-CN"/>
        </w:rPr>
        <w:t>）</w:t>
      </w:r>
      <w:r>
        <w:rPr>
          <w:rFonts w:hint="eastAsia" w:ascii="宋体" w:hAnsi="宋体" w:cs="宋体"/>
          <w:szCs w:val="21"/>
        </w:rPr>
        <w:t>法定代表人授权委托书</w:t>
      </w:r>
      <w:r>
        <w:rPr>
          <w:rFonts w:hint="eastAsia" w:ascii="宋体" w:hAnsi="宋体" w:cs="宋体"/>
          <w:szCs w:val="21"/>
          <w:lang w:val="zh-CN"/>
        </w:rPr>
        <w:t>；</w:t>
      </w:r>
    </w:p>
    <w:p w14:paraId="7EF5969F">
      <w:pPr>
        <w:spacing w:line="360" w:lineRule="auto"/>
        <w:ind w:firstLine="420" w:firstLineChars="200"/>
        <w:rPr>
          <w:rFonts w:ascii="宋体" w:hAnsi="宋体" w:cs="宋体"/>
          <w:szCs w:val="21"/>
        </w:rPr>
      </w:pPr>
      <w:r>
        <w:rPr>
          <w:rFonts w:hint="eastAsia" w:ascii="宋体" w:hAnsi="宋体" w:cs="宋体"/>
          <w:szCs w:val="21"/>
          <w:lang w:val="zh-CN"/>
        </w:rPr>
        <w:t>（</w:t>
      </w:r>
      <w:r>
        <w:rPr>
          <w:rFonts w:hint="eastAsia" w:ascii="宋体" w:hAnsi="宋体" w:cs="宋体"/>
          <w:szCs w:val="21"/>
        </w:rPr>
        <w:t>1.2</w:t>
      </w:r>
      <w:r>
        <w:rPr>
          <w:rFonts w:hint="eastAsia" w:ascii="宋体" w:hAnsi="宋体" w:cs="宋体"/>
          <w:szCs w:val="21"/>
          <w:lang w:val="zh-CN"/>
        </w:rPr>
        <w:t>）</w:t>
      </w:r>
      <w:r>
        <w:rPr>
          <w:rFonts w:hint="eastAsia" w:ascii="宋体" w:hAnsi="宋体" w:cs="宋体"/>
          <w:szCs w:val="21"/>
        </w:rPr>
        <w:t>法定代表人身份证明书</w:t>
      </w:r>
      <w:r>
        <w:rPr>
          <w:rFonts w:hint="eastAsia" w:ascii="宋体" w:hAnsi="宋体" w:cs="宋体"/>
          <w:szCs w:val="21"/>
          <w:lang w:val="zh-CN"/>
        </w:rPr>
        <w:t>；</w:t>
      </w:r>
    </w:p>
    <w:p w14:paraId="1162F74D">
      <w:pPr>
        <w:spacing w:line="360" w:lineRule="auto"/>
        <w:ind w:firstLine="420" w:firstLineChars="200"/>
        <w:rPr>
          <w:rFonts w:ascii="宋体" w:hAnsi="宋体" w:cs="宋体"/>
          <w:szCs w:val="21"/>
          <w:lang w:val="zh-CN"/>
        </w:rPr>
      </w:pPr>
      <w:r>
        <w:rPr>
          <w:rFonts w:hint="eastAsia" w:ascii="宋体" w:hAnsi="宋体" w:cs="宋体"/>
          <w:szCs w:val="21"/>
          <w:lang w:val="zh-CN"/>
        </w:rPr>
        <w:t>（</w:t>
      </w:r>
      <w:r>
        <w:rPr>
          <w:rFonts w:hint="eastAsia" w:ascii="宋体" w:hAnsi="宋体" w:cs="宋体"/>
          <w:szCs w:val="21"/>
        </w:rPr>
        <w:t>2</w:t>
      </w:r>
      <w:r>
        <w:rPr>
          <w:rFonts w:hint="eastAsia" w:ascii="宋体" w:hAnsi="宋体" w:cs="宋体"/>
          <w:szCs w:val="21"/>
          <w:lang w:val="zh-CN"/>
        </w:rPr>
        <w:t>）</w:t>
      </w:r>
      <w:r>
        <w:rPr>
          <w:rFonts w:hint="eastAsia" w:ascii="宋体" w:hAnsi="宋体" w:cs="宋体"/>
          <w:szCs w:val="21"/>
        </w:rPr>
        <w:t>投标声明书</w:t>
      </w:r>
      <w:r>
        <w:rPr>
          <w:rFonts w:hint="eastAsia" w:ascii="宋体" w:hAnsi="宋体" w:cs="宋体"/>
          <w:szCs w:val="21"/>
          <w:lang w:val="zh-CN"/>
        </w:rPr>
        <w:t>；</w:t>
      </w:r>
    </w:p>
    <w:p w14:paraId="00B6BF02">
      <w:pPr>
        <w:spacing w:line="360" w:lineRule="auto"/>
        <w:ind w:firstLine="420" w:firstLineChars="200"/>
        <w:rPr>
          <w:rFonts w:ascii="宋体" w:hAnsi="宋体" w:cs="宋体"/>
          <w:szCs w:val="21"/>
          <w:lang w:val="zh-CN"/>
        </w:rPr>
      </w:pPr>
      <w:r>
        <w:rPr>
          <w:rFonts w:hint="eastAsia" w:ascii="宋体" w:hAnsi="宋体" w:cs="宋体"/>
          <w:szCs w:val="21"/>
          <w:lang w:val="zh-CN"/>
        </w:rPr>
        <w:t>（</w:t>
      </w:r>
      <w:r>
        <w:rPr>
          <w:rFonts w:hint="eastAsia" w:ascii="宋体" w:hAnsi="宋体" w:cs="宋体"/>
          <w:szCs w:val="21"/>
        </w:rPr>
        <w:t>3</w:t>
      </w:r>
      <w:r>
        <w:rPr>
          <w:rFonts w:hint="eastAsia" w:ascii="宋体" w:hAnsi="宋体" w:cs="宋体"/>
          <w:szCs w:val="21"/>
          <w:lang w:val="zh-CN"/>
        </w:rPr>
        <w:t>）营业执照(或事业法人登记证书或其它工商等登记证明材料)</w:t>
      </w:r>
    </w:p>
    <w:p w14:paraId="6422714E">
      <w:pPr>
        <w:spacing w:line="360" w:lineRule="auto"/>
        <w:ind w:firstLine="420" w:firstLineChars="200"/>
        <w:rPr>
          <w:rFonts w:ascii="宋体" w:hAnsi="宋体" w:cs="宋体"/>
          <w:szCs w:val="21"/>
          <w:lang w:val="zh-CN"/>
        </w:rPr>
      </w:pPr>
      <w:r>
        <w:rPr>
          <w:rFonts w:hint="eastAsia" w:ascii="宋体" w:hAnsi="宋体" w:cs="宋体"/>
          <w:szCs w:val="21"/>
          <w:lang w:val="zh-CN"/>
        </w:rPr>
        <w:t>（</w:t>
      </w:r>
      <w:r>
        <w:rPr>
          <w:rFonts w:hint="eastAsia" w:ascii="宋体" w:hAnsi="宋体" w:cs="宋体"/>
          <w:szCs w:val="21"/>
        </w:rPr>
        <w:t>4</w:t>
      </w:r>
      <w:r>
        <w:rPr>
          <w:rFonts w:hint="eastAsia" w:ascii="宋体" w:hAnsi="宋体" w:cs="宋体"/>
          <w:szCs w:val="21"/>
          <w:lang w:val="zh-CN"/>
        </w:rPr>
        <w:t>）投标人未被列入安全生产严重失信主体名单、失信被执行人名单、重大税收违法案件当事人名单、政府采购严重违法失信行为记录名单，信用信息以信用中国网站（www.creditchina.gov.cn）、中国政府采购网（www.ccgp.gov.cn）、应急管理部官方网站（https://zwfw.mem.gov.cn/zwthlw/pages/hlwmh/yyfw/qyaqscxycx/qyaqscxycx_index.html）公布为准；</w:t>
      </w:r>
    </w:p>
    <w:p w14:paraId="13564167">
      <w:pPr>
        <w:spacing w:line="360" w:lineRule="auto"/>
        <w:ind w:firstLine="420" w:firstLineChars="200"/>
        <w:rPr>
          <w:rFonts w:hint="eastAsia" w:ascii="宋体" w:hAnsi="宋体" w:cs="宋体"/>
          <w:szCs w:val="21"/>
          <w:lang w:val="zh-CN"/>
        </w:rPr>
      </w:pPr>
      <w:r>
        <w:rPr>
          <w:rFonts w:hint="eastAsia" w:ascii="宋体" w:hAnsi="宋体" w:cs="宋体"/>
          <w:szCs w:val="21"/>
          <w:lang w:val="zh-CN"/>
        </w:rPr>
        <w:t>（</w:t>
      </w:r>
      <w:r>
        <w:rPr>
          <w:rFonts w:hint="eastAsia" w:ascii="宋体" w:hAnsi="宋体" w:cs="宋体"/>
          <w:szCs w:val="21"/>
        </w:rPr>
        <w:t>5</w:t>
      </w:r>
      <w:r>
        <w:rPr>
          <w:rFonts w:hint="eastAsia" w:ascii="宋体" w:hAnsi="宋体" w:cs="宋体"/>
          <w:szCs w:val="21"/>
          <w:lang w:val="zh-CN"/>
        </w:rPr>
        <w:t>）具有3年及以上相关业绩经验并提供证明材料。（即合同签订时间在2023年7月1日以前，须提供合同复印件并加盖单位公章）；</w:t>
      </w:r>
    </w:p>
    <w:p w14:paraId="01001051">
      <w:pPr>
        <w:spacing w:line="360" w:lineRule="auto"/>
        <w:ind w:firstLine="420" w:firstLineChars="200"/>
        <w:rPr>
          <w:rFonts w:hint="eastAsia" w:ascii="宋体" w:hAnsi="宋体" w:cs="宋体"/>
          <w:szCs w:val="21"/>
        </w:rPr>
      </w:pPr>
      <w:r>
        <w:rPr>
          <w:rFonts w:hint="eastAsia" w:ascii="宋体" w:hAnsi="宋体" w:cs="宋体"/>
          <w:szCs w:val="21"/>
          <w:lang w:val="zh-CN"/>
        </w:rPr>
        <w:t>（</w:t>
      </w:r>
      <w:r>
        <w:rPr>
          <w:rFonts w:hint="eastAsia" w:ascii="宋体" w:hAnsi="宋体" w:cs="宋体"/>
          <w:szCs w:val="21"/>
        </w:rPr>
        <w:t>6</w:t>
      </w:r>
      <w:r>
        <w:rPr>
          <w:rFonts w:hint="eastAsia" w:ascii="宋体" w:hAnsi="宋体" w:cs="宋体"/>
          <w:szCs w:val="21"/>
          <w:lang w:val="zh-CN"/>
        </w:rPr>
        <w:t>）</w:t>
      </w:r>
      <w:r>
        <w:rPr>
          <w:rFonts w:hint="eastAsia" w:ascii="宋体" w:hAnsi="宋体" w:cs="宋体"/>
          <w:szCs w:val="21"/>
        </w:rPr>
        <w:t>承诺函</w:t>
      </w:r>
    </w:p>
    <w:p w14:paraId="3A10DEE1">
      <w:pPr>
        <w:spacing w:line="360" w:lineRule="auto"/>
        <w:ind w:firstLine="420" w:firstLineChars="200"/>
        <w:rPr>
          <w:rFonts w:hint="eastAsia" w:ascii="宋体" w:hAnsi="宋体" w:cs="宋体"/>
          <w:szCs w:val="21"/>
          <w:lang w:val="zh-CN"/>
        </w:rPr>
      </w:pPr>
      <w:r>
        <w:rPr>
          <w:rFonts w:hint="eastAsia" w:ascii="宋体" w:hAnsi="宋体" w:cs="宋体"/>
          <w:szCs w:val="21"/>
          <w:lang w:val="zh-CN" w:eastAsia="zh-CN"/>
        </w:rPr>
        <w:t>（7）</w:t>
      </w:r>
      <w:r>
        <w:rPr>
          <w:rFonts w:hint="eastAsia" w:ascii="宋体" w:hAnsi="宋体" w:cs="宋体"/>
          <w:szCs w:val="21"/>
          <w:lang w:val="zh-CN"/>
        </w:rPr>
        <w:t>特种设备生产许可证</w:t>
      </w:r>
    </w:p>
    <w:p w14:paraId="454AAFFF">
      <w:pPr>
        <w:spacing w:line="360" w:lineRule="auto"/>
        <w:ind w:firstLine="422" w:firstLineChars="200"/>
        <w:rPr>
          <w:rFonts w:ascii="宋体" w:hAnsi="宋体" w:cs="宋体"/>
          <w:b/>
          <w:bCs/>
          <w:szCs w:val="21"/>
          <w:lang w:val="zh-CN"/>
        </w:rPr>
      </w:pPr>
      <w:r>
        <w:rPr>
          <w:rFonts w:hint="eastAsia" w:ascii="宋体" w:hAnsi="宋体" w:cs="宋体"/>
          <w:b/>
          <w:bCs/>
          <w:szCs w:val="21"/>
          <w:lang w:val="zh-CN"/>
        </w:rPr>
        <w:t>第二部分：</w:t>
      </w:r>
      <w:r>
        <w:rPr>
          <w:rFonts w:hint="eastAsia" w:ascii="宋体" w:hAnsi="宋体" w:cs="宋体"/>
          <w:b/>
          <w:bCs/>
          <w:szCs w:val="21"/>
        </w:rPr>
        <w:t>商务技术标</w:t>
      </w:r>
      <w:r>
        <w:rPr>
          <w:rFonts w:hint="eastAsia" w:ascii="宋体" w:hAnsi="宋体" w:cs="宋体"/>
          <w:b/>
          <w:sz w:val="22"/>
          <w:szCs w:val="22"/>
        </w:rPr>
        <w:t>（★不得出现本项目的“价格标”内容及投标报价，否则作无效标</w:t>
      </w:r>
    </w:p>
    <w:p w14:paraId="557A6656">
      <w:pPr>
        <w:spacing w:line="360" w:lineRule="auto"/>
        <w:ind w:firstLine="420" w:firstLineChars="200"/>
        <w:rPr>
          <w:rFonts w:ascii="宋体" w:hAnsi="宋体" w:cs="宋体"/>
          <w:szCs w:val="21"/>
          <w:lang w:val="zh-CN"/>
        </w:rPr>
      </w:pPr>
      <w:r>
        <w:rPr>
          <w:rFonts w:hint="eastAsia" w:ascii="宋体" w:hAnsi="宋体" w:cs="宋体"/>
          <w:szCs w:val="21"/>
          <w:lang w:val="zh-CN"/>
        </w:rPr>
        <w:t>（1）投标函；</w:t>
      </w:r>
    </w:p>
    <w:p w14:paraId="700EAC50">
      <w:pPr>
        <w:spacing w:line="360" w:lineRule="auto"/>
        <w:ind w:firstLine="420" w:firstLineChars="200"/>
        <w:rPr>
          <w:rFonts w:ascii="宋体" w:hAnsi="宋体" w:cs="宋体"/>
          <w:szCs w:val="21"/>
          <w:lang w:val="zh-CN"/>
        </w:rPr>
      </w:pPr>
      <w:r>
        <w:rPr>
          <w:rFonts w:hint="eastAsia" w:ascii="宋体" w:hAnsi="宋体" w:cs="宋体"/>
          <w:szCs w:val="21"/>
          <w:lang w:val="zh-CN"/>
        </w:rPr>
        <w:t>（</w:t>
      </w:r>
      <w:r>
        <w:rPr>
          <w:rFonts w:hint="eastAsia" w:ascii="宋体" w:hAnsi="宋体" w:cs="宋体"/>
          <w:szCs w:val="21"/>
        </w:rPr>
        <w:t>2</w:t>
      </w:r>
      <w:r>
        <w:rPr>
          <w:rFonts w:hint="eastAsia" w:ascii="宋体" w:hAnsi="宋体" w:cs="宋体"/>
          <w:szCs w:val="21"/>
          <w:lang w:val="zh-CN"/>
        </w:rPr>
        <w:t>）技术规格、商务条款偏离表</w:t>
      </w:r>
    </w:p>
    <w:p w14:paraId="7AEC2FAA">
      <w:pPr>
        <w:spacing w:line="360" w:lineRule="auto"/>
        <w:ind w:firstLine="420" w:firstLineChars="200"/>
        <w:rPr>
          <w:rFonts w:ascii="宋体" w:hAnsi="宋体" w:cs="宋体"/>
          <w:szCs w:val="21"/>
          <w:lang w:val="zh-CN"/>
        </w:rPr>
      </w:pPr>
      <w:r>
        <w:rPr>
          <w:rFonts w:hint="eastAsia" w:ascii="宋体" w:hAnsi="宋体" w:cs="宋体"/>
          <w:szCs w:val="21"/>
          <w:lang w:val="zh-CN"/>
        </w:rPr>
        <w:t>（</w:t>
      </w:r>
      <w:r>
        <w:rPr>
          <w:rFonts w:hint="eastAsia" w:ascii="宋体" w:hAnsi="宋体" w:cs="宋体"/>
          <w:szCs w:val="21"/>
        </w:rPr>
        <w:t>3</w:t>
      </w:r>
      <w:r>
        <w:rPr>
          <w:rFonts w:hint="eastAsia" w:ascii="宋体" w:hAnsi="宋体" w:cs="宋体"/>
          <w:szCs w:val="21"/>
          <w:lang w:val="zh-CN"/>
        </w:rPr>
        <w:t>）投标人2023年7月1日以来同类项目业绩</w:t>
      </w:r>
    </w:p>
    <w:p w14:paraId="5349940E">
      <w:pPr>
        <w:spacing w:line="360" w:lineRule="auto"/>
        <w:ind w:firstLine="420" w:firstLineChars="200"/>
        <w:rPr>
          <w:rFonts w:ascii="宋体" w:hAnsi="宋体" w:cs="宋体"/>
          <w:szCs w:val="21"/>
          <w:lang w:val="zh-CN"/>
        </w:rPr>
      </w:pPr>
      <w:r>
        <w:rPr>
          <w:rFonts w:hint="eastAsia" w:ascii="宋体" w:hAnsi="宋体" w:cs="宋体"/>
          <w:szCs w:val="21"/>
          <w:lang w:val="zh-CN"/>
        </w:rPr>
        <w:t>（</w:t>
      </w:r>
      <w:r>
        <w:rPr>
          <w:rFonts w:hint="eastAsia" w:ascii="宋体" w:hAnsi="宋体" w:cs="宋体"/>
          <w:szCs w:val="21"/>
        </w:rPr>
        <w:t>4</w:t>
      </w:r>
      <w:r>
        <w:rPr>
          <w:rFonts w:hint="eastAsia" w:ascii="宋体" w:hAnsi="宋体" w:cs="宋体"/>
          <w:szCs w:val="21"/>
          <w:lang w:val="zh-CN"/>
        </w:rPr>
        <w:t>）投标人的基本情况</w:t>
      </w:r>
    </w:p>
    <w:p w14:paraId="677F6599">
      <w:pPr>
        <w:spacing w:line="360" w:lineRule="auto"/>
        <w:ind w:firstLine="420" w:firstLineChars="200"/>
        <w:rPr>
          <w:rFonts w:ascii="宋体" w:hAnsi="宋体" w:cs="宋体"/>
          <w:szCs w:val="21"/>
          <w:lang w:val="zh-CN"/>
        </w:rPr>
      </w:pPr>
      <w:r>
        <w:rPr>
          <w:rFonts w:hint="eastAsia" w:ascii="宋体" w:hAnsi="宋体" w:cs="宋体"/>
          <w:szCs w:val="21"/>
          <w:lang w:val="zh-CN"/>
        </w:rPr>
        <w:t>（</w:t>
      </w:r>
      <w:r>
        <w:rPr>
          <w:rFonts w:hint="eastAsia" w:ascii="宋体" w:hAnsi="宋体" w:cs="宋体"/>
          <w:szCs w:val="21"/>
        </w:rPr>
        <w:t>5</w:t>
      </w:r>
      <w:r>
        <w:rPr>
          <w:rFonts w:hint="eastAsia" w:ascii="宋体" w:hAnsi="宋体" w:cs="宋体"/>
          <w:szCs w:val="21"/>
          <w:lang w:val="zh-CN"/>
        </w:rPr>
        <w:t>）质保期、工期承诺函</w:t>
      </w:r>
    </w:p>
    <w:p w14:paraId="1866B513">
      <w:pPr>
        <w:spacing w:line="360" w:lineRule="auto"/>
        <w:ind w:firstLine="420" w:firstLineChars="200"/>
        <w:rPr>
          <w:rFonts w:ascii="宋体" w:hAnsi="宋体" w:cs="宋体"/>
          <w:szCs w:val="21"/>
          <w:lang w:val="zh-CN"/>
        </w:rPr>
      </w:pPr>
      <w:r>
        <w:rPr>
          <w:rFonts w:hint="eastAsia" w:ascii="宋体" w:hAnsi="宋体" w:cs="宋体"/>
          <w:szCs w:val="21"/>
          <w:lang w:val="zh-CN"/>
        </w:rPr>
        <w:t>（</w:t>
      </w:r>
      <w:r>
        <w:rPr>
          <w:rFonts w:hint="eastAsia" w:ascii="宋体" w:hAnsi="宋体" w:cs="宋体"/>
          <w:szCs w:val="21"/>
        </w:rPr>
        <w:t>6</w:t>
      </w:r>
      <w:r>
        <w:rPr>
          <w:rFonts w:hint="eastAsia" w:ascii="宋体" w:hAnsi="宋体" w:cs="宋体"/>
          <w:szCs w:val="21"/>
          <w:lang w:val="zh-CN"/>
        </w:rPr>
        <w:t>）投标人情况（格式自拟）</w:t>
      </w:r>
    </w:p>
    <w:p w14:paraId="6AB86818">
      <w:pPr>
        <w:spacing w:line="360" w:lineRule="auto"/>
        <w:ind w:firstLine="420" w:firstLineChars="200"/>
        <w:rPr>
          <w:rFonts w:ascii="宋体" w:hAnsi="宋体" w:cs="宋体"/>
          <w:szCs w:val="21"/>
          <w:lang w:val="zh-CN"/>
        </w:rPr>
      </w:pPr>
      <w:r>
        <w:rPr>
          <w:rFonts w:hint="eastAsia" w:ascii="宋体" w:hAnsi="宋体" w:cs="宋体"/>
          <w:szCs w:val="21"/>
          <w:lang w:val="zh-CN"/>
        </w:rPr>
        <w:t>（</w:t>
      </w:r>
      <w:r>
        <w:rPr>
          <w:rFonts w:hint="eastAsia" w:ascii="宋体" w:hAnsi="宋体" w:cs="宋体"/>
          <w:szCs w:val="21"/>
        </w:rPr>
        <w:t>7</w:t>
      </w:r>
      <w:r>
        <w:rPr>
          <w:rFonts w:hint="eastAsia" w:ascii="宋体" w:hAnsi="宋体" w:cs="宋体"/>
          <w:szCs w:val="21"/>
          <w:lang w:val="zh-CN"/>
        </w:rPr>
        <w:t>）发动机选型与技术方案（格式自拟）</w:t>
      </w:r>
    </w:p>
    <w:p w14:paraId="0472D98D">
      <w:pPr>
        <w:spacing w:line="360" w:lineRule="auto"/>
        <w:ind w:firstLine="420" w:firstLineChars="200"/>
        <w:rPr>
          <w:rFonts w:hint="eastAsia" w:ascii="宋体" w:hAnsi="宋体" w:cs="宋体"/>
          <w:szCs w:val="21"/>
          <w:lang w:val="zh-CN"/>
        </w:rPr>
      </w:pPr>
      <w:r>
        <w:rPr>
          <w:rFonts w:hint="eastAsia" w:ascii="宋体" w:hAnsi="宋体" w:cs="宋体"/>
          <w:szCs w:val="21"/>
          <w:lang w:val="zh-CN"/>
        </w:rPr>
        <w:t>（</w:t>
      </w:r>
      <w:r>
        <w:rPr>
          <w:rFonts w:hint="eastAsia" w:ascii="宋体" w:hAnsi="宋体" w:cs="宋体"/>
          <w:szCs w:val="21"/>
        </w:rPr>
        <w:t>8</w:t>
      </w:r>
      <w:r>
        <w:rPr>
          <w:rFonts w:hint="eastAsia" w:ascii="宋体" w:hAnsi="宋体" w:cs="宋体"/>
          <w:szCs w:val="21"/>
          <w:lang w:val="zh-CN"/>
        </w:rPr>
        <w:t>）售后服务（格式自拟）</w:t>
      </w:r>
    </w:p>
    <w:p w14:paraId="52FDEE1F">
      <w:pPr>
        <w:spacing w:line="360" w:lineRule="auto"/>
        <w:ind w:firstLine="420" w:firstLineChars="200"/>
        <w:rPr>
          <w:rFonts w:hint="eastAsia" w:ascii="宋体" w:hAnsi="宋体" w:cs="宋体"/>
          <w:szCs w:val="21"/>
          <w:lang w:val="zh-CN"/>
        </w:rPr>
      </w:pPr>
      <w:r>
        <w:rPr>
          <w:rFonts w:hint="eastAsia" w:ascii="宋体" w:hAnsi="宋体" w:cs="宋体"/>
          <w:sz w:val="21"/>
          <w:szCs w:val="21"/>
          <w:lang w:val="zh-CN" w:eastAsia="zh-CN"/>
        </w:rPr>
        <w:t>（</w:t>
      </w:r>
      <w:r>
        <w:rPr>
          <w:rFonts w:hint="eastAsia" w:ascii="宋体" w:hAnsi="宋体" w:cs="宋体"/>
          <w:sz w:val="21"/>
          <w:szCs w:val="21"/>
          <w:lang w:val="en-US" w:eastAsia="zh-CN"/>
        </w:rPr>
        <w:t>9</w:t>
      </w:r>
      <w:r>
        <w:rPr>
          <w:rFonts w:hint="eastAsia" w:ascii="宋体" w:hAnsi="宋体" w:cs="宋体"/>
          <w:sz w:val="21"/>
          <w:szCs w:val="21"/>
          <w:lang w:val="zh-CN" w:eastAsia="zh-CN"/>
        </w:rPr>
        <w:t>）维修清单品牌表</w:t>
      </w:r>
    </w:p>
    <w:p w14:paraId="141D4AE5">
      <w:pPr>
        <w:spacing w:line="360" w:lineRule="auto"/>
        <w:ind w:firstLine="420" w:firstLineChars="200"/>
        <w:rPr>
          <w:rFonts w:hint="eastAsia" w:ascii="宋体" w:hAnsi="宋体" w:cs="宋体"/>
          <w:szCs w:val="21"/>
          <w:lang w:val="zh-CN"/>
        </w:rPr>
      </w:pPr>
      <w:r>
        <w:rPr>
          <w:rFonts w:hint="eastAsia" w:ascii="宋体" w:hAnsi="宋体" w:cs="宋体"/>
          <w:szCs w:val="21"/>
          <w:lang w:val="zh-CN"/>
        </w:rPr>
        <w:t>（</w:t>
      </w:r>
      <w:r>
        <w:rPr>
          <w:rFonts w:hint="eastAsia" w:ascii="宋体" w:hAnsi="宋体" w:cs="宋体"/>
          <w:szCs w:val="21"/>
          <w:lang w:val="en-US" w:eastAsia="zh-CN"/>
        </w:rPr>
        <w:t>10</w:t>
      </w:r>
      <w:r>
        <w:rPr>
          <w:rFonts w:hint="eastAsia" w:ascii="宋体" w:hAnsi="宋体" w:cs="宋体"/>
          <w:szCs w:val="21"/>
          <w:lang w:val="zh-CN"/>
        </w:rPr>
        <w:t>）其他投标人认为需要提供的证明材料及内容。</w:t>
      </w:r>
    </w:p>
    <w:p w14:paraId="0D6EE028">
      <w:pPr>
        <w:spacing w:line="360" w:lineRule="auto"/>
        <w:ind w:firstLine="422" w:firstLineChars="200"/>
        <w:rPr>
          <w:rFonts w:ascii="宋体" w:hAnsi="宋体" w:cs="宋体"/>
          <w:b/>
          <w:bCs/>
          <w:szCs w:val="21"/>
          <w:lang w:val="zh-CN"/>
        </w:rPr>
      </w:pPr>
      <w:r>
        <w:rPr>
          <w:rFonts w:hint="eastAsia" w:ascii="宋体" w:hAnsi="宋体" w:cs="宋体"/>
          <w:b/>
          <w:bCs/>
          <w:szCs w:val="21"/>
          <w:lang w:val="zh-CN"/>
        </w:rPr>
        <w:t>第三部分：</w:t>
      </w:r>
      <w:r>
        <w:rPr>
          <w:rFonts w:hint="eastAsia" w:ascii="宋体" w:hAnsi="宋体" w:cs="宋体"/>
          <w:b/>
          <w:bCs/>
          <w:szCs w:val="21"/>
        </w:rPr>
        <w:t>价格标</w:t>
      </w:r>
    </w:p>
    <w:p w14:paraId="5B869CA2">
      <w:pPr>
        <w:spacing w:line="360" w:lineRule="auto"/>
        <w:ind w:firstLine="420" w:firstLineChars="200"/>
        <w:rPr>
          <w:rFonts w:ascii="宋体" w:hAnsi="宋体" w:cs="宋体"/>
          <w:szCs w:val="21"/>
          <w:lang w:val="zh-CN"/>
        </w:rPr>
      </w:pPr>
      <w:r>
        <w:rPr>
          <w:rFonts w:hint="eastAsia" w:ascii="宋体" w:hAnsi="宋体" w:cs="宋体"/>
          <w:szCs w:val="21"/>
          <w:lang w:val="zh-CN"/>
        </w:rPr>
        <w:t>（1）投标报价</w:t>
      </w:r>
      <w:r>
        <w:rPr>
          <w:rFonts w:hint="eastAsia" w:ascii="宋体" w:hAnsi="宋体" w:cs="宋体"/>
          <w:szCs w:val="21"/>
        </w:rPr>
        <w:t>一览</w:t>
      </w:r>
      <w:r>
        <w:rPr>
          <w:rFonts w:hint="eastAsia" w:ascii="宋体" w:hAnsi="宋体" w:cs="宋体"/>
          <w:szCs w:val="21"/>
          <w:lang w:val="zh-CN"/>
        </w:rPr>
        <w:t>表；</w:t>
      </w:r>
    </w:p>
    <w:p w14:paraId="240E326F">
      <w:pPr>
        <w:snapToGrid w:val="0"/>
        <w:spacing w:line="360" w:lineRule="auto"/>
        <w:ind w:firstLine="420" w:firstLineChars="200"/>
        <w:jc w:val="left"/>
        <w:rPr>
          <w:rFonts w:ascii="宋体" w:hAnsi="宋体" w:cs="宋体"/>
          <w:b/>
          <w:bCs/>
          <w:color w:val="000000"/>
          <w:szCs w:val="21"/>
        </w:rPr>
      </w:pPr>
      <w:r>
        <w:rPr>
          <w:rFonts w:hint="eastAsia" w:ascii="宋体" w:hAnsi="宋体" w:cs="宋体"/>
          <w:szCs w:val="21"/>
          <w:lang w:val="zh-CN"/>
        </w:rPr>
        <w:t>注：以上投标资料所要求为扫描件，均须加盖公章。中标后招标人</w:t>
      </w:r>
      <w:r>
        <w:rPr>
          <w:rFonts w:hint="eastAsia" w:ascii="宋体" w:hAnsi="宋体" w:cs="宋体"/>
          <w:szCs w:val="21"/>
        </w:rPr>
        <w:t>有权</w:t>
      </w:r>
      <w:r>
        <w:rPr>
          <w:rFonts w:hint="eastAsia" w:ascii="宋体" w:hAnsi="宋体" w:cs="宋体"/>
          <w:szCs w:val="21"/>
          <w:lang w:val="zh-CN"/>
        </w:rPr>
        <w:t>对中标人相关资料进行原件核实，若有虚假，则取消中标资格，并追究相应责任。</w:t>
      </w:r>
    </w:p>
    <w:bookmarkEnd w:id="20"/>
    <w:p w14:paraId="693554C5">
      <w:pPr>
        <w:snapToGrid w:val="0"/>
        <w:spacing w:line="360" w:lineRule="auto"/>
        <w:ind w:firstLine="420" w:firstLineChars="200"/>
        <w:jc w:val="left"/>
        <w:rPr>
          <w:rFonts w:ascii="宋体" w:hAnsi="宋体" w:cs="宋体"/>
          <w:color w:val="000000"/>
          <w:szCs w:val="21"/>
        </w:rPr>
      </w:pPr>
      <w:r>
        <w:rPr>
          <w:rFonts w:hint="eastAsia" w:ascii="宋体" w:hAnsi="宋体" w:cs="宋体"/>
          <w:color w:val="000000"/>
          <w:szCs w:val="21"/>
        </w:rPr>
        <w:t>（二）投标文件的语言及计量</w:t>
      </w:r>
    </w:p>
    <w:p w14:paraId="5C89F588">
      <w:pPr>
        <w:snapToGrid w:val="0"/>
        <w:spacing w:line="360" w:lineRule="auto"/>
        <w:ind w:firstLine="420" w:firstLineChars="200"/>
        <w:jc w:val="left"/>
        <w:rPr>
          <w:rFonts w:ascii="宋体" w:hAnsi="宋体" w:cs="宋体"/>
          <w:color w:val="000000"/>
          <w:szCs w:val="21"/>
        </w:rPr>
      </w:pPr>
      <w:r>
        <w:rPr>
          <w:rFonts w:hint="eastAsia" w:ascii="宋体" w:hAnsi="宋体" w:cs="宋体"/>
          <w:color w:val="000000"/>
          <w:szCs w:val="21"/>
        </w:rPr>
        <w:t>★1.投标文件以及投标人与招标人就有关投标事宜的所有来往函电，均应以中文汉语书写。除签名、盖章、专用名称等特殊情形外，以中文汉语以外的文字表述的投标文件视同未提供。</w:t>
      </w:r>
    </w:p>
    <w:p w14:paraId="47232A26">
      <w:pPr>
        <w:snapToGrid w:val="0"/>
        <w:spacing w:line="360" w:lineRule="auto"/>
        <w:ind w:firstLine="420" w:firstLineChars="200"/>
        <w:jc w:val="left"/>
        <w:rPr>
          <w:rFonts w:ascii="宋体" w:hAnsi="宋体" w:cs="宋体"/>
          <w:color w:val="000000"/>
          <w:szCs w:val="21"/>
        </w:rPr>
      </w:pPr>
      <w:r>
        <w:rPr>
          <w:rFonts w:hint="eastAsia" w:ascii="宋体" w:hAnsi="宋体" w:cs="宋体"/>
          <w:color w:val="000000"/>
          <w:szCs w:val="21"/>
        </w:rPr>
        <w:t>★2.投标计量单位，招标文件已有明确规定的，使用招标文件规定的计量单位；招标文件没有规定的，应采用中华人民共和国法定计量单位（例如货币单位：人民币元），否则视同未响应。</w:t>
      </w:r>
    </w:p>
    <w:p w14:paraId="522D8267">
      <w:pPr>
        <w:snapToGrid w:val="0"/>
        <w:spacing w:line="360" w:lineRule="auto"/>
        <w:ind w:firstLine="422" w:firstLineChars="200"/>
        <w:jc w:val="left"/>
        <w:rPr>
          <w:rFonts w:ascii="宋体" w:hAnsi="宋体"/>
          <w:b/>
          <w:color w:val="000000"/>
          <w:szCs w:val="21"/>
        </w:rPr>
      </w:pPr>
      <w:bookmarkStart w:id="21" w:name="_Toc12733"/>
      <w:bookmarkStart w:id="22" w:name="_Toc50128393"/>
      <w:bookmarkStart w:id="23" w:name="_Toc527495475"/>
      <w:bookmarkStart w:id="24" w:name="_Toc30109"/>
      <w:r>
        <w:rPr>
          <w:rFonts w:hint="eastAsia" w:ascii="宋体" w:hAnsi="宋体"/>
          <w:b/>
          <w:color w:val="000000"/>
          <w:szCs w:val="21"/>
        </w:rPr>
        <w:t>（三）投标报价</w:t>
      </w:r>
      <w:bookmarkEnd w:id="21"/>
      <w:bookmarkEnd w:id="22"/>
      <w:bookmarkEnd w:id="23"/>
      <w:bookmarkEnd w:id="24"/>
    </w:p>
    <w:p w14:paraId="0F7010E4">
      <w:pPr>
        <w:snapToGrid w:val="0"/>
        <w:spacing w:line="360" w:lineRule="auto"/>
        <w:ind w:firstLine="422" w:firstLineChars="200"/>
        <w:jc w:val="left"/>
        <w:rPr>
          <w:rFonts w:ascii="宋体" w:hAnsi="宋体"/>
          <w:b/>
          <w:color w:val="000000"/>
          <w:szCs w:val="21"/>
        </w:rPr>
      </w:pPr>
      <w:bookmarkStart w:id="25" w:name="_Toc15950"/>
      <w:bookmarkStart w:id="26" w:name="_Toc26553"/>
      <w:bookmarkStart w:id="27" w:name="_Toc50128394"/>
      <w:bookmarkStart w:id="28" w:name="_Toc527495476"/>
      <w:r>
        <w:rPr>
          <w:rFonts w:hint="eastAsia" w:ascii="宋体" w:hAnsi="宋体"/>
          <w:b/>
          <w:color w:val="000000"/>
          <w:szCs w:val="21"/>
        </w:rPr>
        <w:t>1.投标报价应按招标文件中相关附表格式填写。</w:t>
      </w:r>
      <w:bookmarkEnd w:id="25"/>
      <w:bookmarkEnd w:id="26"/>
      <w:bookmarkEnd w:id="27"/>
      <w:bookmarkEnd w:id="28"/>
    </w:p>
    <w:p w14:paraId="2B163810">
      <w:pPr>
        <w:snapToGrid w:val="0"/>
        <w:spacing w:line="360" w:lineRule="auto"/>
        <w:ind w:firstLine="422" w:firstLineChars="200"/>
        <w:jc w:val="left"/>
        <w:rPr>
          <w:rFonts w:ascii="宋体" w:hAnsi="宋体"/>
          <w:b/>
          <w:color w:val="000000"/>
          <w:szCs w:val="21"/>
        </w:rPr>
      </w:pPr>
      <w:bookmarkStart w:id="29" w:name="_Toc27262"/>
      <w:bookmarkStart w:id="30" w:name="_Toc527495477"/>
      <w:r>
        <w:rPr>
          <w:rFonts w:hint="eastAsia" w:ascii="宋体" w:hAnsi="宋体"/>
          <w:b/>
          <w:color w:val="000000"/>
          <w:szCs w:val="21"/>
        </w:rPr>
        <w:t>★2.</w:t>
      </w:r>
      <w:bookmarkEnd w:id="29"/>
      <w:bookmarkEnd w:id="30"/>
      <w:r>
        <w:rPr>
          <w:rFonts w:hint="eastAsia" w:ascii="宋体" w:hAnsi="宋体"/>
          <w:b/>
          <w:color w:val="000000"/>
          <w:szCs w:val="21"/>
        </w:rPr>
        <w:t>本项目为交钥匙工程，本次报价是包含招标文件规定的完成本项目所需的供货、包装、设备来回运输、仓储、装卸、</w:t>
      </w:r>
      <w:r>
        <w:rPr>
          <w:rFonts w:hint="eastAsia" w:ascii="宋体" w:hAnsi="宋体"/>
          <w:b/>
          <w:color w:val="000000"/>
          <w:szCs w:val="21"/>
          <w:lang w:eastAsia="zh-CN"/>
        </w:rPr>
        <w:t>拆除、安装、调试、浙江省特种设备科学研究院检测费用、</w:t>
      </w:r>
      <w:r>
        <w:rPr>
          <w:rFonts w:hint="eastAsia" w:ascii="宋体" w:hAnsi="宋体"/>
          <w:b/>
          <w:color w:val="000000"/>
          <w:szCs w:val="21"/>
        </w:rPr>
        <w:t>验收、售后服务、人工、保险、交通费、13%增值税税金、及涉及的辅材等全部工作的总费用（含平台交易服务费）。实行固定费用总价包干。该维修费用已涵盖履行过程中一切风险（包括但不限于材料、人工价格上涨，发生安全事故造成的损害赔偿）。</w:t>
      </w:r>
    </w:p>
    <w:p w14:paraId="60A24AE6">
      <w:pPr>
        <w:snapToGrid w:val="0"/>
        <w:spacing w:line="360" w:lineRule="auto"/>
        <w:ind w:firstLine="422" w:firstLineChars="200"/>
        <w:jc w:val="left"/>
        <w:rPr>
          <w:rFonts w:ascii="宋体" w:hAnsi="宋体"/>
          <w:b/>
          <w:color w:val="000000"/>
          <w:szCs w:val="21"/>
        </w:rPr>
      </w:pPr>
      <w:bookmarkStart w:id="31" w:name="_Toc50128396"/>
      <w:bookmarkStart w:id="32" w:name="_Toc27023"/>
      <w:bookmarkStart w:id="33" w:name="_Toc527495478"/>
      <w:bookmarkStart w:id="34" w:name="_Toc4050"/>
      <w:r>
        <w:rPr>
          <w:rFonts w:hint="eastAsia" w:ascii="宋体" w:hAnsi="宋体"/>
          <w:b/>
          <w:color w:val="000000"/>
          <w:szCs w:val="21"/>
        </w:rPr>
        <w:t>★3.投标文件只允许有一个投标价，有选择的或有条件的报价将不予接受。</w:t>
      </w:r>
      <w:bookmarkEnd w:id="31"/>
      <w:bookmarkEnd w:id="32"/>
      <w:bookmarkEnd w:id="33"/>
      <w:bookmarkEnd w:id="34"/>
    </w:p>
    <w:p w14:paraId="2CA25CC0">
      <w:pPr>
        <w:tabs>
          <w:tab w:val="left" w:pos="-180"/>
          <w:tab w:val="left" w:pos="180"/>
          <w:tab w:val="left" w:pos="360"/>
        </w:tabs>
        <w:spacing w:line="360" w:lineRule="auto"/>
        <w:ind w:firstLine="422" w:firstLineChars="200"/>
        <w:rPr>
          <w:rFonts w:ascii="宋体" w:hAnsi="宋体"/>
          <w:b/>
          <w:szCs w:val="21"/>
          <w:u w:val="single"/>
        </w:rPr>
      </w:pPr>
      <w:r>
        <w:rPr>
          <w:rFonts w:hint="eastAsia" w:ascii="宋体" w:hAnsi="宋体"/>
          <w:b/>
          <w:color w:val="000000"/>
          <w:szCs w:val="21"/>
        </w:rPr>
        <w:t>★</w:t>
      </w:r>
      <w:r>
        <w:rPr>
          <w:rFonts w:hint="eastAsia" w:ascii="宋体" w:hAnsi="宋体"/>
          <w:b/>
          <w:szCs w:val="21"/>
        </w:rPr>
        <w:t>投标报价报出后，投标人不得以任何理由予以变更。任何包含价格调整的要求，将被认为是非实质性响应投标而予以拒绝。</w:t>
      </w:r>
    </w:p>
    <w:p w14:paraId="353F25A3">
      <w:pPr>
        <w:pStyle w:val="41"/>
        <w:snapToGrid w:val="0"/>
        <w:spacing w:line="360" w:lineRule="auto"/>
        <w:ind w:firstLine="422"/>
        <w:jc w:val="left"/>
        <w:rPr>
          <w:rFonts w:ascii="宋体" w:hAnsi="宋体"/>
          <w:b/>
          <w:color w:val="000000"/>
          <w:szCs w:val="21"/>
        </w:rPr>
      </w:pPr>
      <w:bookmarkStart w:id="35" w:name="_Toc24350"/>
      <w:bookmarkStart w:id="36" w:name="_Toc50128397"/>
      <w:bookmarkStart w:id="37" w:name="_Toc527495479"/>
      <w:bookmarkStart w:id="38" w:name="_Toc11291"/>
      <w:r>
        <w:rPr>
          <w:rFonts w:ascii="宋体" w:hAnsi="宋体"/>
          <w:b/>
          <w:color w:val="000000"/>
          <w:szCs w:val="21"/>
        </w:rPr>
        <w:t>（四）</w:t>
      </w:r>
      <w:r>
        <w:rPr>
          <w:rFonts w:hint="eastAsia" w:ascii="宋体" w:hAnsi="宋体"/>
          <w:b/>
          <w:color w:val="000000"/>
          <w:szCs w:val="21"/>
        </w:rPr>
        <w:t>投标文件的有效期</w:t>
      </w:r>
      <w:bookmarkEnd w:id="35"/>
      <w:bookmarkEnd w:id="36"/>
      <w:bookmarkEnd w:id="37"/>
      <w:bookmarkEnd w:id="38"/>
    </w:p>
    <w:p w14:paraId="5FBD0CA2">
      <w:pPr>
        <w:pStyle w:val="4"/>
        <w:numPr>
          <w:ilvl w:val="0"/>
          <w:numId w:val="0"/>
        </w:numPr>
        <w:snapToGrid w:val="0"/>
        <w:spacing w:line="360" w:lineRule="auto"/>
        <w:ind w:firstLine="422" w:firstLineChars="200"/>
        <w:rPr>
          <w:rFonts w:ascii="宋体" w:hAnsi="宋体"/>
          <w:b/>
          <w:color w:val="000000"/>
          <w:szCs w:val="21"/>
        </w:rPr>
      </w:pPr>
      <w:r>
        <w:rPr>
          <w:rFonts w:hint="eastAsia" w:ascii="宋体" w:hAnsi="宋体"/>
          <w:b/>
          <w:color w:val="000000"/>
          <w:szCs w:val="21"/>
        </w:rPr>
        <w:t>★</w:t>
      </w:r>
      <w:r>
        <w:rPr>
          <w:rFonts w:ascii="宋体" w:hAnsi="宋体"/>
          <w:b/>
          <w:color w:val="000000"/>
          <w:szCs w:val="21"/>
        </w:rPr>
        <w:t>1</w:t>
      </w:r>
      <w:r>
        <w:rPr>
          <w:rFonts w:hint="eastAsia" w:ascii="宋体" w:hAnsi="宋体"/>
          <w:b/>
          <w:color w:val="000000"/>
          <w:szCs w:val="21"/>
        </w:rPr>
        <w:t>.</w:t>
      </w:r>
      <w:r>
        <w:rPr>
          <w:rFonts w:ascii="宋体" w:hAnsi="宋体"/>
          <w:b/>
          <w:color w:val="000000"/>
          <w:szCs w:val="21"/>
        </w:rPr>
        <w:t>自投标截止日起</w:t>
      </w:r>
      <w:r>
        <w:rPr>
          <w:rFonts w:hint="eastAsia" w:ascii="宋体" w:hAnsi="宋体"/>
          <w:b/>
          <w:color w:val="000000"/>
          <w:szCs w:val="21"/>
          <w:u w:val="single"/>
        </w:rPr>
        <w:t>90</w:t>
      </w:r>
      <w:r>
        <w:rPr>
          <w:rFonts w:ascii="宋体" w:hAnsi="宋体"/>
          <w:b/>
          <w:color w:val="000000"/>
          <w:szCs w:val="21"/>
        </w:rPr>
        <w:t>天投标</w:t>
      </w:r>
      <w:r>
        <w:rPr>
          <w:rFonts w:hint="eastAsia" w:ascii="宋体" w:hAnsi="宋体"/>
          <w:b/>
          <w:color w:val="000000"/>
          <w:szCs w:val="21"/>
        </w:rPr>
        <w:t>文件</w:t>
      </w:r>
      <w:r>
        <w:rPr>
          <w:rFonts w:ascii="宋体" w:hAnsi="宋体"/>
          <w:b/>
          <w:color w:val="000000"/>
          <w:szCs w:val="21"/>
        </w:rPr>
        <w:t>应保持有效。有效期</w:t>
      </w:r>
      <w:r>
        <w:rPr>
          <w:rFonts w:hint="eastAsia" w:ascii="宋体" w:hAnsi="宋体"/>
          <w:b/>
          <w:color w:val="000000"/>
          <w:szCs w:val="21"/>
        </w:rPr>
        <w:t>不足</w:t>
      </w:r>
      <w:r>
        <w:rPr>
          <w:rFonts w:ascii="宋体" w:hAnsi="宋体"/>
          <w:b/>
          <w:color w:val="000000"/>
          <w:szCs w:val="21"/>
        </w:rPr>
        <w:t>的投标</w:t>
      </w:r>
      <w:r>
        <w:rPr>
          <w:rFonts w:hint="eastAsia" w:ascii="宋体" w:hAnsi="宋体"/>
          <w:b/>
          <w:color w:val="000000"/>
          <w:szCs w:val="21"/>
        </w:rPr>
        <w:t>文件</w:t>
      </w:r>
      <w:r>
        <w:rPr>
          <w:rFonts w:ascii="宋体" w:hAnsi="宋体"/>
          <w:b/>
          <w:color w:val="000000"/>
          <w:szCs w:val="21"/>
        </w:rPr>
        <w:t>将被拒绝。</w:t>
      </w:r>
    </w:p>
    <w:p w14:paraId="54521945">
      <w:pPr>
        <w:pStyle w:val="4"/>
        <w:numPr>
          <w:ilvl w:val="0"/>
          <w:numId w:val="0"/>
        </w:numPr>
        <w:snapToGrid w:val="0"/>
        <w:spacing w:line="360" w:lineRule="auto"/>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w:t>
      </w:r>
      <w:r>
        <w:rPr>
          <w:rFonts w:ascii="宋体" w:hAnsi="宋体"/>
          <w:color w:val="000000"/>
          <w:szCs w:val="21"/>
        </w:rPr>
        <w:t>在特殊情况下，招标人可与投标人协商延长投标书的有效期，这种要求和答复均以书面形式进行。</w:t>
      </w:r>
    </w:p>
    <w:p w14:paraId="3CDF1555">
      <w:pPr>
        <w:snapToGrid w:val="0"/>
        <w:spacing w:line="360" w:lineRule="auto"/>
        <w:ind w:firstLine="420" w:firstLineChars="200"/>
        <w:jc w:val="left"/>
        <w:rPr>
          <w:rFonts w:ascii="宋体" w:hAnsi="宋体"/>
          <w:b/>
          <w:color w:val="000000"/>
          <w:szCs w:val="21"/>
        </w:rPr>
      </w:pPr>
      <w:bookmarkStart w:id="39" w:name="_Toc50128398"/>
      <w:bookmarkStart w:id="40" w:name="_Toc6637"/>
      <w:bookmarkStart w:id="41" w:name="_Toc527495480"/>
      <w:bookmarkStart w:id="42" w:name="_Toc13025"/>
      <w:r>
        <w:rPr>
          <w:rFonts w:ascii="宋体" w:hAnsi="宋体"/>
          <w:color w:val="000000"/>
          <w:szCs w:val="21"/>
        </w:rPr>
        <w:t>3</w:t>
      </w:r>
      <w:r>
        <w:rPr>
          <w:rFonts w:hint="eastAsia" w:ascii="宋体" w:hAnsi="宋体"/>
          <w:color w:val="000000"/>
          <w:szCs w:val="21"/>
        </w:rPr>
        <w:t>.</w:t>
      </w:r>
      <w:r>
        <w:rPr>
          <w:rFonts w:ascii="宋体" w:hAnsi="宋体"/>
          <w:color w:val="000000"/>
          <w:szCs w:val="21"/>
        </w:rPr>
        <w:t>投标人可拒绝接受延期要求而不会导致投标保证金被没收。同意延长有效期的投标人需要相应延长投标保证金的有效期，但不能修改投标文件。</w:t>
      </w:r>
      <w:bookmarkEnd w:id="39"/>
      <w:bookmarkEnd w:id="40"/>
      <w:bookmarkEnd w:id="41"/>
      <w:bookmarkEnd w:id="42"/>
    </w:p>
    <w:p w14:paraId="691DB5C6">
      <w:pPr>
        <w:snapToGrid w:val="0"/>
        <w:spacing w:line="360" w:lineRule="auto"/>
        <w:ind w:firstLine="420" w:firstLineChars="200"/>
        <w:jc w:val="left"/>
        <w:rPr>
          <w:rFonts w:ascii="宋体" w:hAnsi="宋体"/>
          <w:b/>
          <w:color w:val="000000"/>
          <w:szCs w:val="21"/>
        </w:rPr>
      </w:pPr>
      <w:bookmarkStart w:id="43" w:name="_Toc19039"/>
      <w:bookmarkStart w:id="44" w:name="_Toc527495481"/>
      <w:bookmarkStart w:id="45" w:name="_Toc50128399"/>
      <w:bookmarkStart w:id="46" w:name="_Toc21180"/>
      <w:r>
        <w:rPr>
          <w:rFonts w:ascii="宋体" w:hAnsi="宋体"/>
          <w:color w:val="000000"/>
          <w:szCs w:val="21"/>
        </w:rPr>
        <w:t>4</w:t>
      </w:r>
      <w:r>
        <w:rPr>
          <w:rFonts w:hint="eastAsia" w:ascii="宋体" w:hAnsi="宋体"/>
          <w:color w:val="000000"/>
          <w:szCs w:val="21"/>
        </w:rPr>
        <w:t>.</w:t>
      </w:r>
      <w:r>
        <w:rPr>
          <w:rFonts w:ascii="宋体" w:hAnsi="宋体"/>
          <w:color w:val="000000"/>
          <w:szCs w:val="21"/>
        </w:rPr>
        <w:t>中标人的投标文件自开标之日起至合同履行完毕止均应保持有效。</w:t>
      </w:r>
      <w:bookmarkEnd w:id="43"/>
      <w:bookmarkEnd w:id="44"/>
      <w:bookmarkEnd w:id="45"/>
      <w:bookmarkEnd w:id="46"/>
    </w:p>
    <w:p w14:paraId="06D0BEAC">
      <w:pPr>
        <w:snapToGrid w:val="0"/>
        <w:spacing w:before="156" w:beforeLines="50" w:line="360" w:lineRule="auto"/>
        <w:ind w:firstLine="413" w:firstLineChars="196"/>
        <w:jc w:val="left"/>
        <w:rPr>
          <w:rFonts w:ascii="宋体" w:hAnsi="宋体"/>
          <w:b/>
          <w:color w:val="000000"/>
          <w:szCs w:val="21"/>
        </w:rPr>
      </w:pPr>
      <w:bookmarkStart w:id="47" w:name="_Toc31108"/>
      <w:bookmarkStart w:id="48" w:name="_Toc1123"/>
      <w:bookmarkStart w:id="49" w:name="_Toc527495482"/>
      <w:bookmarkStart w:id="50" w:name="_Toc50128400"/>
      <w:r>
        <w:rPr>
          <w:rFonts w:hint="eastAsia" w:ascii="宋体" w:hAnsi="宋体"/>
          <w:b/>
          <w:color w:val="000000"/>
          <w:szCs w:val="21"/>
        </w:rPr>
        <w:t>（五）投标保证金</w:t>
      </w:r>
      <w:bookmarkEnd w:id="47"/>
      <w:bookmarkEnd w:id="48"/>
      <w:bookmarkEnd w:id="49"/>
      <w:bookmarkEnd w:id="50"/>
    </w:p>
    <w:p w14:paraId="2BF5F61B">
      <w:pPr>
        <w:snapToGrid w:val="0"/>
        <w:spacing w:line="360" w:lineRule="auto"/>
        <w:ind w:firstLine="420" w:firstLineChars="200"/>
        <w:jc w:val="left"/>
        <w:rPr>
          <w:rFonts w:ascii="宋体" w:hAnsi="宋体"/>
          <w:color w:val="000000"/>
          <w:szCs w:val="21"/>
        </w:rPr>
      </w:pPr>
      <w:r>
        <w:rPr>
          <w:rFonts w:hint="eastAsia" w:ascii="宋体" w:hAnsi="宋体"/>
          <w:color w:val="000000"/>
          <w:szCs w:val="21"/>
        </w:rPr>
        <w:t>★</w:t>
      </w:r>
      <w:r>
        <w:rPr>
          <w:rFonts w:ascii="宋体" w:hAnsi="宋体"/>
          <w:color w:val="000000"/>
          <w:szCs w:val="21"/>
        </w:rPr>
        <w:t>1.投标人须按规定提交投标保证金。否则，其投标将被拒绝。</w:t>
      </w:r>
    </w:p>
    <w:p w14:paraId="73341AD1">
      <w:pPr>
        <w:snapToGrid w:val="0"/>
        <w:spacing w:line="360" w:lineRule="auto"/>
        <w:ind w:firstLine="411" w:firstLineChars="196"/>
        <w:jc w:val="left"/>
        <w:rPr>
          <w:rFonts w:ascii="宋体" w:hAnsi="宋体"/>
          <w:color w:val="000000"/>
          <w:szCs w:val="21"/>
        </w:rPr>
      </w:pPr>
      <w:r>
        <w:rPr>
          <w:rFonts w:ascii="宋体" w:hAnsi="宋体"/>
          <w:color w:val="000000"/>
          <w:szCs w:val="21"/>
        </w:rPr>
        <w:tab/>
      </w:r>
      <w:r>
        <w:rPr>
          <w:rFonts w:ascii="宋体" w:hAnsi="宋体"/>
          <w:color w:val="000000"/>
          <w:szCs w:val="21"/>
        </w:rPr>
        <w:t>2.保证金形式：</w:t>
      </w:r>
      <w:r>
        <w:rPr>
          <w:rFonts w:hint="eastAsia" w:cs="宋体" w:asciiTheme="minorEastAsia" w:hAnsiTheme="minorEastAsia" w:eastAsiaTheme="minorEastAsia"/>
          <w:bCs/>
          <w:kern w:val="0"/>
          <w:szCs w:val="21"/>
        </w:rPr>
        <w:t>银行转账。</w:t>
      </w:r>
    </w:p>
    <w:p w14:paraId="5AFA08CD">
      <w:pPr>
        <w:snapToGrid w:val="0"/>
        <w:spacing w:line="360" w:lineRule="auto"/>
        <w:ind w:firstLine="411" w:firstLineChars="196"/>
        <w:jc w:val="left"/>
        <w:rPr>
          <w:rFonts w:ascii="宋体" w:hAnsi="宋体"/>
          <w:color w:val="000000"/>
          <w:szCs w:val="21"/>
        </w:rPr>
      </w:pPr>
      <w:r>
        <w:rPr>
          <w:rFonts w:ascii="宋体" w:hAnsi="宋体"/>
          <w:color w:val="000000"/>
          <w:szCs w:val="21"/>
        </w:rPr>
        <w:tab/>
      </w:r>
      <w:r>
        <w:rPr>
          <w:rFonts w:ascii="宋体" w:hAnsi="宋体"/>
          <w:color w:val="000000"/>
          <w:szCs w:val="21"/>
        </w:rPr>
        <w:t>3.未中标人的投标保证金</w:t>
      </w:r>
      <w:r>
        <w:rPr>
          <w:rFonts w:hint="eastAsia" w:ascii="宋体" w:hAnsi="宋体"/>
          <w:color w:val="000000"/>
          <w:szCs w:val="21"/>
        </w:rPr>
        <w:t>将</w:t>
      </w:r>
      <w:r>
        <w:rPr>
          <w:rFonts w:ascii="宋体" w:hAnsi="宋体"/>
          <w:color w:val="000000"/>
          <w:szCs w:val="21"/>
        </w:rPr>
        <w:t>在</w:t>
      </w:r>
      <w:r>
        <w:rPr>
          <w:rFonts w:hint="eastAsia" w:ascii="宋体" w:hAnsi="宋体"/>
          <w:color w:val="000000"/>
          <w:szCs w:val="21"/>
        </w:rPr>
        <w:t>中标通知书发出</w:t>
      </w:r>
      <w:r>
        <w:rPr>
          <w:rFonts w:ascii="宋体" w:hAnsi="宋体"/>
          <w:color w:val="000000"/>
          <w:szCs w:val="21"/>
        </w:rPr>
        <w:t>后5个工作日内</w:t>
      </w:r>
      <w:r>
        <w:rPr>
          <w:rFonts w:hint="eastAsia" w:ascii="宋体" w:hAnsi="宋体"/>
          <w:color w:val="000000"/>
          <w:szCs w:val="21"/>
        </w:rPr>
        <w:t>无息</w:t>
      </w:r>
      <w:r>
        <w:rPr>
          <w:rFonts w:ascii="宋体" w:hAnsi="宋体"/>
          <w:color w:val="000000"/>
          <w:szCs w:val="21"/>
        </w:rPr>
        <w:t>退还。</w:t>
      </w:r>
    </w:p>
    <w:p w14:paraId="17DD7161">
      <w:pPr>
        <w:snapToGrid w:val="0"/>
        <w:spacing w:line="360" w:lineRule="auto"/>
        <w:ind w:firstLine="411" w:firstLineChars="196"/>
        <w:jc w:val="left"/>
        <w:rPr>
          <w:rFonts w:ascii="宋体" w:hAnsi="宋体"/>
          <w:color w:val="000000"/>
          <w:szCs w:val="21"/>
        </w:rPr>
      </w:pPr>
      <w:r>
        <w:rPr>
          <w:rFonts w:ascii="宋体" w:hAnsi="宋体"/>
          <w:color w:val="000000"/>
          <w:szCs w:val="21"/>
        </w:rPr>
        <w:tab/>
      </w:r>
      <w:r>
        <w:rPr>
          <w:rFonts w:hint="eastAsia" w:ascii="宋体" w:hAnsi="宋体"/>
          <w:color w:val="000000"/>
          <w:szCs w:val="21"/>
        </w:rPr>
        <w:t>★</w:t>
      </w:r>
      <w:r>
        <w:rPr>
          <w:rFonts w:ascii="宋体" w:hAnsi="宋体"/>
          <w:color w:val="000000"/>
          <w:szCs w:val="21"/>
        </w:rPr>
        <w:t>4.中标人应在中标通知书发出后30日内与招标人签订合同</w:t>
      </w:r>
      <w:r>
        <w:rPr>
          <w:rFonts w:hint="eastAsia" w:ascii="宋体" w:hAnsi="宋体"/>
          <w:color w:val="000000"/>
          <w:szCs w:val="21"/>
        </w:rPr>
        <w:t>，中标人的投标保证金在与招标人签订合同后</w:t>
      </w:r>
      <w:r>
        <w:rPr>
          <w:rFonts w:ascii="宋体" w:hAnsi="宋体"/>
          <w:color w:val="000000"/>
          <w:szCs w:val="21"/>
        </w:rPr>
        <w:t>5个工作日</w:t>
      </w:r>
      <w:r>
        <w:rPr>
          <w:rFonts w:hint="eastAsia" w:ascii="宋体" w:hAnsi="宋体"/>
          <w:color w:val="000000"/>
          <w:szCs w:val="21"/>
        </w:rPr>
        <w:t>内一次性无息退还给</w:t>
      </w:r>
      <w:r>
        <w:rPr>
          <w:rFonts w:ascii="宋体" w:hAnsi="宋体"/>
          <w:color w:val="000000"/>
          <w:szCs w:val="21"/>
        </w:rPr>
        <w:t>中标人。</w:t>
      </w:r>
    </w:p>
    <w:p w14:paraId="1F4666EA">
      <w:pPr>
        <w:snapToGrid w:val="0"/>
        <w:spacing w:line="360" w:lineRule="auto"/>
        <w:ind w:firstLine="411" w:firstLineChars="196"/>
        <w:jc w:val="left"/>
        <w:rPr>
          <w:rFonts w:ascii="宋体" w:hAnsi="宋体"/>
          <w:color w:val="000000"/>
          <w:szCs w:val="21"/>
        </w:rPr>
      </w:pPr>
      <w:r>
        <w:rPr>
          <w:rFonts w:ascii="宋体" w:hAnsi="宋体"/>
          <w:color w:val="000000"/>
          <w:szCs w:val="21"/>
        </w:rPr>
        <w:tab/>
      </w:r>
      <w:r>
        <w:rPr>
          <w:rFonts w:hint="eastAsia" w:ascii="宋体" w:hAnsi="宋体"/>
          <w:color w:val="000000"/>
          <w:szCs w:val="21"/>
        </w:rPr>
        <w:t>★</w:t>
      </w:r>
      <w:r>
        <w:rPr>
          <w:rFonts w:ascii="宋体" w:hAnsi="宋体"/>
          <w:color w:val="000000"/>
          <w:szCs w:val="21"/>
        </w:rPr>
        <w:t>5.投标人有下列情形之一的，投标保证金将不予退还：</w:t>
      </w:r>
    </w:p>
    <w:p w14:paraId="0BA87466">
      <w:pPr>
        <w:snapToGrid w:val="0"/>
        <w:spacing w:line="360" w:lineRule="auto"/>
        <w:ind w:firstLine="411" w:firstLineChars="196"/>
        <w:jc w:val="left"/>
        <w:rPr>
          <w:rFonts w:ascii="宋体" w:hAnsi="宋体"/>
          <w:color w:val="000000"/>
          <w:szCs w:val="21"/>
        </w:rPr>
      </w:pPr>
      <w:r>
        <w:rPr>
          <w:rFonts w:ascii="宋体" w:hAnsi="宋体"/>
          <w:color w:val="000000"/>
          <w:szCs w:val="21"/>
        </w:rPr>
        <w:tab/>
      </w:r>
      <w:r>
        <w:rPr>
          <w:rFonts w:ascii="宋体" w:hAnsi="宋体"/>
          <w:color w:val="000000"/>
          <w:szCs w:val="21"/>
        </w:rPr>
        <w:t>（1）投标人在投标有效期内撤回投标文件的；</w:t>
      </w:r>
    </w:p>
    <w:p w14:paraId="643121FE">
      <w:pPr>
        <w:snapToGrid w:val="0"/>
        <w:spacing w:line="360" w:lineRule="auto"/>
        <w:ind w:firstLine="411" w:firstLineChars="196"/>
        <w:jc w:val="left"/>
        <w:rPr>
          <w:rFonts w:ascii="宋体" w:hAnsi="宋体"/>
          <w:color w:val="000000"/>
          <w:szCs w:val="21"/>
        </w:rPr>
      </w:pPr>
      <w:r>
        <w:rPr>
          <w:rFonts w:ascii="宋体" w:hAnsi="宋体"/>
          <w:color w:val="000000"/>
          <w:szCs w:val="21"/>
        </w:rPr>
        <w:tab/>
      </w:r>
      <w:r>
        <w:rPr>
          <w:rFonts w:ascii="宋体" w:hAnsi="宋体"/>
          <w:color w:val="000000"/>
          <w:szCs w:val="21"/>
        </w:rPr>
        <w:t>（2）未按规定提交履约保证金的；</w:t>
      </w:r>
    </w:p>
    <w:p w14:paraId="0722E4D1">
      <w:pPr>
        <w:snapToGrid w:val="0"/>
        <w:spacing w:line="360" w:lineRule="auto"/>
        <w:ind w:firstLine="411" w:firstLineChars="196"/>
        <w:jc w:val="left"/>
        <w:rPr>
          <w:rFonts w:ascii="宋体" w:hAnsi="宋体"/>
          <w:color w:val="000000"/>
          <w:szCs w:val="21"/>
        </w:rPr>
      </w:pPr>
      <w:r>
        <w:rPr>
          <w:rFonts w:ascii="宋体" w:hAnsi="宋体"/>
          <w:color w:val="000000"/>
          <w:szCs w:val="21"/>
        </w:rPr>
        <w:tab/>
      </w:r>
      <w:r>
        <w:rPr>
          <w:rFonts w:ascii="宋体" w:hAnsi="宋体"/>
          <w:color w:val="000000"/>
          <w:szCs w:val="21"/>
        </w:rPr>
        <w:t>（3）投标人在投标过程中弄虚作假，提供虚假材料的；</w:t>
      </w:r>
    </w:p>
    <w:p w14:paraId="5616542F">
      <w:pPr>
        <w:snapToGrid w:val="0"/>
        <w:spacing w:line="360" w:lineRule="auto"/>
        <w:ind w:firstLine="411" w:firstLineChars="196"/>
        <w:jc w:val="left"/>
        <w:rPr>
          <w:rFonts w:ascii="宋体" w:hAnsi="宋体"/>
          <w:color w:val="000000"/>
          <w:szCs w:val="21"/>
        </w:rPr>
      </w:pPr>
      <w:r>
        <w:rPr>
          <w:rFonts w:ascii="宋体" w:hAnsi="宋体"/>
          <w:color w:val="000000"/>
          <w:szCs w:val="21"/>
        </w:rPr>
        <w:tab/>
      </w:r>
      <w:r>
        <w:rPr>
          <w:rFonts w:ascii="宋体" w:hAnsi="宋体"/>
          <w:color w:val="000000"/>
          <w:szCs w:val="21"/>
        </w:rPr>
        <w:t>（4）中标人无正当理由不与招标人签订合同的；</w:t>
      </w:r>
    </w:p>
    <w:p w14:paraId="1FBE82ED">
      <w:pPr>
        <w:snapToGrid w:val="0"/>
        <w:spacing w:line="360" w:lineRule="auto"/>
        <w:ind w:firstLine="411" w:firstLineChars="196"/>
        <w:jc w:val="left"/>
        <w:rPr>
          <w:rFonts w:ascii="宋体" w:hAnsi="宋体"/>
          <w:color w:val="000000"/>
          <w:szCs w:val="21"/>
        </w:rPr>
      </w:pPr>
      <w:r>
        <w:rPr>
          <w:rFonts w:ascii="宋体" w:hAnsi="宋体"/>
          <w:color w:val="000000"/>
          <w:szCs w:val="21"/>
        </w:rPr>
        <w:tab/>
      </w:r>
      <w:r>
        <w:rPr>
          <w:rFonts w:ascii="宋体" w:hAnsi="宋体"/>
          <w:color w:val="000000"/>
          <w:szCs w:val="21"/>
        </w:rPr>
        <w:t>（5）将中标项目转让给他人或者在投标文件中未说明且未经招标人同意，将中标项目分包给他人的；</w:t>
      </w:r>
    </w:p>
    <w:p w14:paraId="5103FA8F">
      <w:pPr>
        <w:snapToGrid w:val="0"/>
        <w:spacing w:line="360" w:lineRule="auto"/>
        <w:ind w:firstLine="411" w:firstLineChars="196"/>
        <w:jc w:val="left"/>
        <w:rPr>
          <w:rFonts w:ascii="宋体" w:hAnsi="宋体"/>
          <w:color w:val="000000"/>
          <w:szCs w:val="21"/>
        </w:rPr>
      </w:pPr>
      <w:r>
        <w:rPr>
          <w:rFonts w:ascii="宋体" w:hAnsi="宋体"/>
          <w:color w:val="000000"/>
          <w:szCs w:val="21"/>
        </w:rPr>
        <w:tab/>
      </w:r>
      <w:r>
        <w:rPr>
          <w:rFonts w:ascii="宋体" w:hAnsi="宋体"/>
          <w:color w:val="000000"/>
          <w:szCs w:val="21"/>
        </w:rPr>
        <w:t>（6）投标人在投标过程中违反</w:t>
      </w:r>
      <w:r>
        <w:rPr>
          <w:rFonts w:hint="eastAsia" w:ascii="宋体" w:hAnsi="宋体"/>
          <w:color w:val="000000"/>
          <w:szCs w:val="21"/>
        </w:rPr>
        <w:t>有关法律法规的；</w:t>
      </w:r>
    </w:p>
    <w:p w14:paraId="640C9847">
      <w:pPr>
        <w:snapToGrid w:val="0"/>
        <w:spacing w:line="360" w:lineRule="auto"/>
        <w:ind w:firstLine="420" w:firstLineChars="200"/>
        <w:jc w:val="left"/>
        <w:rPr>
          <w:rFonts w:ascii="宋体" w:hAnsi="宋体"/>
          <w:color w:val="000000"/>
          <w:szCs w:val="21"/>
        </w:rPr>
      </w:pPr>
      <w:r>
        <w:rPr>
          <w:rFonts w:ascii="宋体" w:hAnsi="宋体"/>
          <w:color w:val="000000"/>
          <w:szCs w:val="21"/>
        </w:rPr>
        <w:t>（7）其他严重扰乱招投标程序的</w:t>
      </w:r>
      <w:r>
        <w:rPr>
          <w:rFonts w:hint="eastAsia" w:ascii="宋体" w:hAnsi="宋体"/>
          <w:color w:val="000000"/>
          <w:szCs w:val="21"/>
        </w:rPr>
        <w:t>。</w:t>
      </w:r>
    </w:p>
    <w:p w14:paraId="2C75AE77">
      <w:pPr>
        <w:snapToGrid w:val="0"/>
        <w:spacing w:before="156" w:beforeLines="50" w:line="360" w:lineRule="auto"/>
        <w:ind w:firstLine="413" w:firstLineChars="196"/>
        <w:jc w:val="left"/>
        <w:rPr>
          <w:rFonts w:ascii="宋体" w:hAnsi="宋体"/>
          <w:b/>
          <w:color w:val="000000"/>
          <w:szCs w:val="21"/>
        </w:rPr>
      </w:pPr>
      <w:bookmarkStart w:id="51" w:name="_Toc527495483"/>
      <w:bookmarkStart w:id="52" w:name="_Toc2315"/>
      <w:bookmarkStart w:id="53" w:name="_Toc10942"/>
      <w:bookmarkStart w:id="54" w:name="_Toc50128401"/>
      <w:r>
        <w:rPr>
          <w:rFonts w:hint="eastAsia" w:ascii="宋体" w:hAnsi="宋体"/>
          <w:b/>
          <w:color w:val="000000"/>
          <w:szCs w:val="21"/>
        </w:rPr>
        <w:t>（六）投标文件的签署</w:t>
      </w:r>
      <w:bookmarkEnd w:id="51"/>
      <w:bookmarkEnd w:id="52"/>
      <w:bookmarkEnd w:id="53"/>
      <w:bookmarkEnd w:id="54"/>
    </w:p>
    <w:p w14:paraId="2EA34BA0">
      <w:pPr>
        <w:snapToGrid w:val="0"/>
        <w:spacing w:line="360" w:lineRule="auto"/>
        <w:ind w:firstLine="420" w:firstLineChars="200"/>
        <w:jc w:val="left"/>
        <w:rPr>
          <w:rFonts w:ascii="宋体" w:hAnsi="宋体"/>
          <w:color w:val="000000"/>
          <w:szCs w:val="21"/>
        </w:rPr>
      </w:pPr>
      <w:r>
        <w:rPr>
          <w:rFonts w:ascii="宋体" w:hAnsi="宋体"/>
          <w:color w:val="000000"/>
          <w:szCs w:val="21"/>
        </w:rPr>
        <w:t>1</w:t>
      </w:r>
      <w:r>
        <w:rPr>
          <w:rFonts w:hint="eastAsia" w:ascii="宋体" w:hAnsi="宋体"/>
          <w:color w:val="000000"/>
          <w:szCs w:val="21"/>
        </w:rPr>
        <w:t>.</w:t>
      </w:r>
      <w:r>
        <w:rPr>
          <w:rFonts w:ascii="宋体" w:hAnsi="宋体"/>
          <w:color w:val="000000"/>
          <w:szCs w:val="21"/>
        </w:rPr>
        <w:t>投标人应</w:t>
      </w:r>
      <w:r>
        <w:rPr>
          <w:rFonts w:hint="eastAsia" w:ascii="宋体" w:hAnsi="宋体"/>
          <w:color w:val="000000"/>
          <w:szCs w:val="21"/>
        </w:rPr>
        <w:t>按</w:t>
      </w:r>
      <w:r>
        <w:rPr>
          <w:rFonts w:ascii="宋体" w:hAnsi="宋体"/>
          <w:color w:val="000000"/>
          <w:szCs w:val="21"/>
        </w:rPr>
        <w:t>本招标文件规定的格式和顺序编制、</w:t>
      </w:r>
      <w:r>
        <w:rPr>
          <w:rFonts w:hint="eastAsia" w:ascii="宋体" w:hAnsi="宋体"/>
          <w:color w:val="000000"/>
          <w:szCs w:val="21"/>
        </w:rPr>
        <w:t>标注页码</w:t>
      </w:r>
      <w:r>
        <w:rPr>
          <w:rFonts w:ascii="宋体" w:hAnsi="宋体"/>
          <w:color w:val="000000"/>
          <w:szCs w:val="21"/>
        </w:rPr>
        <w:t>，投标文件内容不完整、编排混乱导致投标文件被误读、漏读或者查找不到相关内容的，是投标人的责任。</w:t>
      </w:r>
    </w:p>
    <w:p w14:paraId="17B45DAA">
      <w:pPr>
        <w:widowControl/>
        <w:spacing w:before="60" w:after="60" w:line="360" w:lineRule="auto"/>
        <w:ind w:right="62" w:firstLine="315" w:firstLineChars="150"/>
        <w:jc w:val="left"/>
        <w:rPr>
          <w:rFonts w:cs="宋体" w:asciiTheme="minorEastAsia" w:hAnsiTheme="minorEastAsia" w:eastAsiaTheme="minorEastAsia"/>
          <w:bCs/>
          <w:kern w:val="0"/>
          <w:szCs w:val="21"/>
        </w:rPr>
      </w:pPr>
      <w:r>
        <w:rPr>
          <w:rFonts w:ascii="宋体" w:hAnsi="宋体"/>
          <w:color w:val="000000"/>
          <w:szCs w:val="21"/>
        </w:rPr>
        <w:t>2</w:t>
      </w:r>
      <w:r>
        <w:rPr>
          <w:rFonts w:hint="eastAsia" w:ascii="宋体" w:hAnsi="宋体"/>
          <w:color w:val="000000"/>
          <w:szCs w:val="21"/>
        </w:rPr>
        <w:t>.</w:t>
      </w:r>
      <w:r>
        <w:rPr>
          <w:rFonts w:ascii="宋体" w:hAnsi="宋体"/>
          <w:color w:val="000000"/>
          <w:szCs w:val="21"/>
        </w:rPr>
        <w:t xml:space="preserve"> 投标文件须由投标人在规定位置盖</w:t>
      </w:r>
      <w:r>
        <w:rPr>
          <w:rFonts w:hint="eastAsia" w:ascii="宋体" w:hAnsi="宋体"/>
          <w:color w:val="000000"/>
          <w:szCs w:val="21"/>
        </w:rPr>
        <w:t>电子</w:t>
      </w:r>
      <w:r>
        <w:rPr>
          <w:rFonts w:ascii="宋体" w:hAnsi="宋体"/>
          <w:color w:val="000000"/>
          <w:szCs w:val="21"/>
        </w:rPr>
        <w:t>章并由法定代表人或法定代表</w:t>
      </w:r>
      <w:r>
        <w:rPr>
          <w:rFonts w:hint="eastAsia" w:ascii="宋体" w:hAnsi="宋体"/>
          <w:color w:val="000000"/>
          <w:szCs w:val="21"/>
        </w:rPr>
        <w:t>人的</w:t>
      </w:r>
      <w:r>
        <w:rPr>
          <w:rFonts w:ascii="宋体" w:hAnsi="宋体"/>
          <w:color w:val="000000"/>
          <w:szCs w:val="21"/>
        </w:rPr>
        <w:t>授权</w:t>
      </w:r>
      <w:r>
        <w:rPr>
          <w:rFonts w:hint="eastAsia" w:ascii="宋体" w:hAnsi="宋体"/>
          <w:color w:val="000000"/>
          <w:szCs w:val="21"/>
        </w:rPr>
        <w:t>委托</w:t>
      </w:r>
      <w:r>
        <w:rPr>
          <w:rFonts w:ascii="宋体" w:hAnsi="宋体"/>
          <w:color w:val="000000"/>
          <w:szCs w:val="21"/>
        </w:rPr>
        <w:t>人</w:t>
      </w:r>
      <w:r>
        <w:rPr>
          <w:rFonts w:hint="eastAsia" w:ascii="宋体" w:hAnsi="宋体"/>
          <w:color w:val="000000"/>
          <w:szCs w:val="21"/>
        </w:rPr>
        <w:t>盖电子签名章</w:t>
      </w:r>
      <w:r>
        <w:rPr>
          <w:rFonts w:ascii="宋体" w:hAnsi="宋体"/>
          <w:color w:val="000000"/>
          <w:szCs w:val="21"/>
        </w:rPr>
        <w:t>，投标人应写全称。</w:t>
      </w:r>
    </w:p>
    <w:p w14:paraId="598CC5D6">
      <w:pPr>
        <w:snapToGrid w:val="0"/>
        <w:spacing w:before="156" w:beforeLines="50" w:line="360" w:lineRule="auto"/>
        <w:ind w:firstLine="310" w:firstLineChars="147"/>
        <w:jc w:val="left"/>
        <w:rPr>
          <w:rFonts w:ascii="宋体" w:hAnsi="宋体"/>
          <w:b/>
          <w:color w:val="000000"/>
          <w:szCs w:val="21"/>
        </w:rPr>
      </w:pPr>
      <w:r>
        <w:rPr>
          <w:rFonts w:hint="eastAsia" w:ascii="宋体" w:hAnsi="宋体"/>
          <w:b/>
          <w:color w:val="000000"/>
          <w:szCs w:val="21"/>
        </w:rPr>
        <w:t>（七）投标文件的递交、修改和撤回</w:t>
      </w:r>
    </w:p>
    <w:p w14:paraId="7D18BF5B">
      <w:pPr>
        <w:snapToGrid w:val="0"/>
        <w:spacing w:line="400" w:lineRule="exact"/>
        <w:ind w:firstLine="420" w:firstLineChars="200"/>
        <w:jc w:val="left"/>
        <w:rPr>
          <w:rFonts w:ascii="宋体" w:hAnsi="宋体" w:cs="宋体"/>
          <w:szCs w:val="21"/>
        </w:rPr>
      </w:pPr>
      <w:bookmarkStart w:id="55" w:name="_Toc50128403"/>
      <w:r>
        <w:rPr>
          <w:rFonts w:hint="eastAsia" w:ascii="宋体" w:hAnsi="宋体" w:cs="宋体"/>
          <w:szCs w:val="21"/>
        </w:rPr>
        <w:t>1.投标文件需在投标文件递交的截止时间前递交。</w:t>
      </w:r>
    </w:p>
    <w:p w14:paraId="31968AD2">
      <w:pPr>
        <w:snapToGrid w:val="0"/>
        <w:spacing w:line="400" w:lineRule="exact"/>
        <w:ind w:firstLine="420" w:firstLineChars="200"/>
        <w:jc w:val="left"/>
        <w:rPr>
          <w:rFonts w:ascii="宋体" w:hAnsi="宋体" w:cs="宋体"/>
          <w:szCs w:val="21"/>
        </w:rPr>
      </w:pPr>
      <w:r>
        <w:rPr>
          <w:rFonts w:hint="eastAsia" w:ascii="宋体" w:hAnsi="宋体" w:cs="宋体"/>
          <w:szCs w:val="21"/>
        </w:rPr>
        <w:t>2.投标人在投标截止时间之前，可以对已提交的投标文件进行修改或撤回；投标截止时间后，投标人不得撤回、修改投标文件。</w:t>
      </w:r>
    </w:p>
    <w:p w14:paraId="58DD6728">
      <w:pPr>
        <w:snapToGrid w:val="0"/>
        <w:spacing w:line="400" w:lineRule="exact"/>
        <w:ind w:firstLine="420" w:firstLineChars="200"/>
        <w:jc w:val="left"/>
        <w:rPr>
          <w:rFonts w:ascii="宋体" w:hAnsi="宋体" w:cs="宋体"/>
          <w:b/>
          <w:szCs w:val="21"/>
        </w:rPr>
      </w:pPr>
      <w:bookmarkStart w:id="56" w:name="_Toc50128402"/>
      <w:r>
        <w:rPr>
          <w:rFonts w:hint="eastAsia" w:ascii="宋体" w:hAnsi="宋体" w:cs="宋体"/>
          <w:szCs w:val="21"/>
        </w:rPr>
        <w:t>★</w:t>
      </w:r>
      <w:r>
        <w:rPr>
          <w:rFonts w:hint="eastAsia" w:ascii="宋体" w:hAnsi="宋体" w:cs="宋体"/>
          <w:b/>
          <w:szCs w:val="21"/>
        </w:rPr>
        <w:t>（八）投标无效的情形</w:t>
      </w:r>
      <w:bookmarkEnd w:id="56"/>
    </w:p>
    <w:p w14:paraId="689B546A">
      <w:pPr>
        <w:spacing w:line="360" w:lineRule="auto"/>
        <w:ind w:firstLine="420" w:firstLineChars="200"/>
        <w:rPr>
          <w:rFonts w:ascii="宋体" w:hAnsi="宋体" w:cs="宋体"/>
        </w:rPr>
      </w:pPr>
      <w:r>
        <w:rPr>
          <w:rFonts w:hint="eastAsia" w:ascii="宋体" w:hAnsi="宋体" w:cs="宋体"/>
        </w:rPr>
        <w:t>实质上没有响应招标文件要求的投标将被视为无效投标。投标人不得通过修正或撤销不合要求的偏离或保留从而使其投标成为实质上响应的投标，但经评标委员会认定属于投标人疏忽、笔误所造成的差错，应当允许其在评标结束之前进行修改或者补正。限期内不补正或经补正后仍不符合招标文件要求的，应认定其投标无效。投标人修改、补正投标文件后，不影响评标委员会对其投标文件所作的评价和评分结果。</w:t>
      </w:r>
    </w:p>
    <w:p w14:paraId="74A90047">
      <w:pPr>
        <w:spacing w:line="360" w:lineRule="auto"/>
        <w:ind w:firstLine="422" w:firstLineChars="200"/>
        <w:rPr>
          <w:b/>
          <w:bCs/>
        </w:rPr>
      </w:pPr>
      <w:r>
        <w:rPr>
          <w:b/>
          <w:bCs/>
        </w:rPr>
        <w:t>出现下列情形之一的，投标文件将被视为无效：</w:t>
      </w:r>
    </w:p>
    <w:p w14:paraId="14C655E6">
      <w:pPr>
        <w:spacing w:line="360" w:lineRule="auto"/>
        <w:ind w:firstLine="422" w:firstLineChars="200"/>
        <w:rPr>
          <w:b/>
          <w:bCs/>
        </w:rPr>
      </w:pPr>
      <w:r>
        <w:rPr>
          <w:b/>
          <w:bCs/>
        </w:rPr>
        <w:t>1.</w:t>
      </w:r>
      <w:r>
        <w:rPr>
          <w:rFonts w:hint="eastAsia"/>
          <w:b/>
          <w:bCs/>
        </w:rPr>
        <w:t>第一阶段</w:t>
      </w:r>
      <w:bookmarkStart w:id="57" w:name="OLE_LINK4"/>
      <w:r>
        <w:rPr>
          <w:b/>
          <w:bCs/>
        </w:rPr>
        <w:t>评审</w:t>
      </w:r>
      <w:bookmarkEnd w:id="57"/>
      <w:r>
        <w:rPr>
          <w:rFonts w:hint="eastAsia"/>
          <w:b/>
          <w:bCs/>
        </w:rPr>
        <w:t>（</w:t>
      </w:r>
      <w:r>
        <w:rPr>
          <w:b/>
          <w:bCs/>
        </w:rPr>
        <w:t>资审文件和商务技术标评审</w:t>
      </w:r>
      <w:r>
        <w:rPr>
          <w:rFonts w:hint="eastAsia"/>
          <w:b/>
          <w:bCs/>
        </w:rPr>
        <w:t>）</w:t>
      </w:r>
      <w:r>
        <w:rPr>
          <w:b/>
          <w:bCs/>
        </w:rPr>
        <w:t>时，如发现下列情形之一的，投标文件将被视为无效</w:t>
      </w:r>
      <w:r>
        <w:rPr>
          <w:rFonts w:hint="eastAsia"/>
          <w:b/>
          <w:bCs/>
        </w:rPr>
        <w:t>：</w:t>
      </w:r>
    </w:p>
    <w:p w14:paraId="6C5338C7">
      <w:pPr>
        <w:spacing w:line="360" w:lineRule="auto"/>
        <w:ind w:firstLine="422" w:firstLineChars="200"/>
        <w:rPr>
          <w:b/>
          <w:bCs/>
        </w:rPr>
      </w:pPr>
      <w:r>
        <w:rPr>
          <w:b/>
          <w:bCs/>
        </w:rPr>
        <w:t>（1）投标人的资格条件不符合招标文件要求的。</w:t>
      </w:r>
    </w:p>
    <w:p w14:paraId="10E2EFFE">
      <w:pPr>
        <w:spacing w:line="360" w:lineRule="auto"/>
        <w:ind w:firstLine="422" w:firstLineChars="200"/>
        <w:rPr>
          <w:b/>
          <w:bCs/>
        </w:rPr>
      </w:pPr>
      <w:r>
        <w:rPr>
          <w:b/>
          <w:bCs/>
        </w:rPr>
        <w:t>（2）投标人未提交投标保证金或保证金金额不足，投标保证金形式不符合招标文件要求的。</w:t>
      </w:r>
    </w:p>
    <w:p w14:paraId="305390F3">
      <w:pPr>
        <w:spacing w:line="360" w:lineRule="auto"/>
        <w:ind w:firstLine="422" w:firstLineChars="200"/>
        <w:rPr>
          <w:b/>
          <w:bCs/>
        </w:rPr>
      </w:pPr>
      <w:r>
        <w:rPr>
          <w:b/>
          <w:bCs/>
        </w:rPr>
        <w:t>（3）投标文件未按招标文件要求签字盖章的。</w:t>
      </w:r>
    </w:p>
    <w:p w14:paraId="09D7BF4A">
      <w:pPr>
        <w:spacing w:line="360" w:lineRule="auto"/>
        <w:ind w:firstLine="422" w:firstLineChars="200"/>
        <w:rPr>
          <w:b/>
          <w:bCs/>
        </w:rPr>
      </w:pPr>
      <w:r>
        <w:rPr>
          <w:b/>
          <w:bCs/>
        </w:rPr>
        <w:t>（4）投标有效期不足的。</w:t>
      </w:r>
    </w:p>
    <w:p w14:paraId="18060C61">
      <w:pPr>
        <w:spacing w:line="360" w:lineRule="auto"/>
        <w:ind w:firstLine="422" w:firstLineChars="200"/>
        <w:rPr>
          <w:b/>
          <w:bCs/>
        </w:rPr>
      </w:pPr>
      <w:r>
        <w:rPr>
          <w:b/>
          <w:bCs/>
        </w:rPr>
        <w:t>（</w:t>
      </w:r>
      <w:r>
        <w:rPr>
          <w:rFonts w:hint="eastAsia"/>
          <w:b/>
          <w:bCs/>
        </w:rPr>
        <w:t>5</w:t>
      </w:r>
      <w:r>
        <w:rPr>
          <w:b/>
          <w:bCs/>
        </w:rPr>
        <w:t>）</w:t>
      </w:r>
      <w:r>
        <w:rPr>
          <w:rFonts w:hint="eastAsia"/>
          <w:b/>
          <w:bCs/>
        </w:rPr>
        <w:t>不同投标人的电子投标文件编制时的计算机硬件信息中网卡MAC地址（如有）、硬盘（含移动存储介质）序列号（0ptane_0000、0100_0000_0000_0000序列号除外）、互联网接入IP地址相同。</w:t>
      </w:r>
    </w:p>
    <w:p w14:paraId="5147F154">
      <w:pPr>
        <w:spacing w:line="360" w:lineRule="auto"/>
        <w:ind w:firstLine="422" w:firstLineChars="200"/>
        <w:rPr>
          <w:b/>
          <w:bCs/>
        </w:rPr>
      </w:pPr>
      <w:r>
        <w:rPr>
          <w:rFonts w:hint="eastAsia"/>
          <w:b/>
          <w:bCs/>
        </w:rPr>
        <w:t>（6）</w:t>
      </w:r>
      <w:r>
        <w:rPr>
          <w:b/>
          <w:bCs/>
        </w:rPr>
        <w:t>资审文件或商务技术标中出现</w:t>
      </w:r>
      <w:r>
        <w:rPr>
          <w:rFonts w:hint="eastAsia"/>
          <w:b/>
          <w:bCs/>
        </w:rPr>
        <w:t>“</w:t>
      </w:r>
      <w:r>
        <w:rPr>
          <w:b/>
          <w:bCs/>
        </w:rPr>
        <w:t>价格标</w:t>
      </w:r>
      <w:r>
        <w:rPr>
          <w:rFonts w:hint="eastAsia"/>
          <w:b/>
          <w:bCs/>
        </w:rPr>
        <w:t>”</w:t>
      </w:r>
      <w:r>
        <w:rPr>
          <w:b/>
          <w:bCs/>
        </w:rPr>
        <w:t>内容或投标报价。</w:t>
      </w:r>
    </w:p>
    <w:p w14:paraId="13366A60">
      <w:pPr>
        <w:spacing w:line="360" w:lineRule="auto"/>
        <w:ind w:firstLine="422" w:firstLineChars="200"/>
        <w:rPr>
          <w:b/>
          <w:bCs/>
        </w:rPr>
      </w:pPr>
      <w:r>
        <w:rPr>
          <w:b/>
          <w:bCs/>
        </w:rPr>
        <w:t>（</w:t>
      </w:r>
      <w:r>
        <w:rPr>
          <w:rFonts w:hint="eastAsia"/>
          <w:b/>
          <w:bCs/>
        </w:rPr>
        <w:t>7</w:t>
      </w:r>
      <w:r>
        <w:rPr>
          <w:b/>
          <w:bCs/>
        </w:rPr>
        <w:t>）投标文件实质上没有响应招标文件要求的。</w:t>
      </w:r>
    </w:p>
    <w:p w14:paraId="27BFF351">
      <w:pPr>
        <w:spacing w:line="360" w:lineRule="auto"/>
        <w:ind w:firstLine="422" w:firstLineChars="200"/>
        <w:rPr>
          <w:b/>
          <w:bCs/>
        </w:rPr>
      </w:pPr>
      <w:r>
        <w:rPr>
          <w:b/>
          <w:bCs/>
        </w:rPr>
        <w:t>（</w:t>
      </w:r>
      <w:r>
        <w:rPr>
          <w:rFonts w:hint="eastAsia"/>
          <w:b/>
          <w:bCs/>
        </w:rPr>
        <w:t>8</w:t>
      </w:r>
      <w:r>
        <w:rPr>
          <w:b/>
          <w:bCs/>
        </w:rPr>
        <w:t>）投标文件中附有招标人不能接受的条件的。</w:t>
      </w:r>
    </w:p>
    <w:p w14:paraId="2867DA03">
      <w:pPr>
        <w:spacing w:line="360" w:lineRule="auto"/>
        <w:ind w:firstLine="422" w:firstLineChars="200"/>
        <w:rPr>
          <w:b/>
          <w:bCs/>
        </w:rPr>
      </w:pPr>
      <w:r>
        <w:rPr>
          <w:b/>
          <w:bCs/>
        </w:rPr>
        <w:t>2.</w:t>
      </w:r>
      <w:r>
        <w:rPr>
          <w:rFonts w:hint="eastAsia"/>
          <w:b/>
          <w:bCs/>
        </w:rPr>
        <w:t>第二阶段评审（</w:t>
      </w:r>
      <w:r>
        <w:rPr>
          <w:b/>
          <w:bCs/>
        </w:rPr>
        <w:t>价格标评审</w:t>
      </w:r>
      <w:r>
        <w:rPr>
          <w:rFonts w:hint="eastAsia"/>
          <w:b/>
          <w:bCs/>
        </w:rPr>
        <w:t>）</w:t>
      </w:r>
      <w:r>
        <w:rPr>
          <w:b/>
          <w:bCs/>
        </w:rPr>
        <w:t>时，如发现下列情形之一的，投标文件将被视为无效</w:t>
      </w:r>
      <w:r>
        <w:rPr>
          <w:rFonts w:hint="eastAsia"/>
          <w:b/>
          <w:bCs/>
        </w:rPr>
        <w:t>：</w:t>
      </w:r>
    </w:p>
    <w:p w14:paraId="4E9855E3">
      <w:pPr>
        <w:spacing w:line="360" w:lineRule="auto"/>
        <w:ind w:firstLine="422" w:firstLineChars="200"/>
        <w:rPr>
          <w:b/>
          <w:bCs/>
        </w:rPr>
      </w:pPr>
      <w:r>
        <w:rPr>
          <w:rFonts w:hint="eastAsia"/>
          <w:b/>
          <w:bCs/>
        </w:rPr>
        <w:t>（1）投标文件未按招标文件要求签字盖章的。</w:t>
      </w:r>
    </w:p>
    <w:p w14:paraId="23E77227">
      <w:pPr>
        <w:spacing w:line="360" w:lineRule="auto"/>
        <w:ind w:firstLine="422" w:firstLineChars="200"/>
        <w:rPr>
          <w:b/>
          <w:bCs/>
        </w:rPr>
      </w:pPr>
      <w:r>
        <w:rPr>
          <w:rFonts w:hint="eastAsia"/>
          <w:b/>
          <w:bCs/>
        </w:rPr>
        <w:t>（2）超过最高限价的。</w:t>
      </w:r>
    </w:p>
    <w:p w14:paraId="0604466F">
      <w:pPr>
        <w:spacing w:line="360" w:lineRule="auto"/>
        <w:ind w:firstLine="422" w:firstLineChars="200"/>
        <w:rPr>
          <w:b/>
          <w:bCs/>
        </w:rPr>
      </w:pPr>
      <w:r>
        <w:rPr>
          <w:rFonts w:hint="eastAsia"/>
          <w:b/>
          <w:bCs/>
        </w:rPr>
        <w:t>（3）在评标过程中，评标委员会发现投标人的报价明显低于其他投标报价，使得其投标报价可能低于其个别成本的，应当要求该投标人作出说明并提供相关证明材料。投标人不能合理说明或者不能提供相关证明材料的，由评标委员会认定该投标人以低于成本报价竞标，其投标作无效标处理。</w:t>
      </w:r>
    </w:p>
    <w:p w14:paraId="6E79C895">
      <w:pPr>
        <w:spacing w:line="360" w:lineRule="auto"/>
        <w:ind w:firstLine="422" w:firstLineChars="200"/>
        <w:rPr>
          <w:b/>
          <w:bCs/>
        </w:rPr>
      </w:pPr>
      <w:r>
        <w:rPr>
          <w:rFonts w:hint="eastAsia"/>
          <w:b/>
          <w:bCs/>
        </w:rPr>
        <w:t>（4）投标文件实质上没有响应招标文件要求的。</w:t>
      </w:r>
    </w:p>
    <w:p w14:paraId="3117564F">
      <w:pPr>
        <w:tabs>
          <w:tab w:val="left" w:pos="540"/>
        </w:tabs>
        <w:spacing w:line="360" w:lineRule="auto"/>
        <w:ind w:firstLine="422" w:firstLineChars="200"/>
        <w:rPr>
          <w:rFonts w:ascii="新宋体" w:hAnsi="新宋体" w:eastAsia="新宋体" w:cs="新宋体"/>
          <w:kern w:val="0"/>
          <w:szCs w:val="21"/>
        </w:rPr>
      </w:pPr>
      <w:r>
        <w:rPr>
          <w:rFonts w:hint="eastAsia"/>
          <w:b/>
          <w:bCs/>
        </w:rPr>
        <w:t>（5）投标文件中附有招标人不能接受的条件的。</w:t>
      </w:r>
    </w:p>
    <w:p w14:paraId="6FDE6F97">
      <w:pPr>
        <w:pStyle w:val="21"/>
        <w:rPr>
          <w:sz w:val="28"/>
        </w:rPr>
      </w:pPr>
      <w:r>
        <w:rPr>
          <w:rFonts w:hint="eastAsia"/>
          <w:sz w:val="28"/>
        </w:rPr>
        <w:t>四重新招标</w:t>
      </w:r>
      <w:bookmarkEnd w:id="55"/>
    </w:p>
    <w:p w14:paraId="19EA1570">
      <w:pPr>
        <w:spacing w:line="360" w:lineRule="auto"/>
        <w:ind w:firstLine="420" w:firstLineChars="200"/>
        <w:rPr>
          <w:rFonts w:ascii="宋体" w:hAnsi="宋体" w:cs="宋体"/>
        </w:rPr>
      </w:pPr>
      <w:r>
        <w:rPr>
          <w:rFonts w:hint="eastAsia" w:ascii="宋体" w:hAnsi="宋体" w:cs="宋体"/>
        </w:rPr>
        <w:t>有下列情形之一的，招标人将重新招标：</w:t>
      </w:r>
    </w:p>
    <w:p w14:paraId="25EA1E2D">
      <w:pPr>
        <w:spacing w:line="360" w:lineRule="auto"/>
        <w:ind w:firstLine="420" w:firstLineChars="200"/>
        <w:rPr>
          <w:rFonts w:ascii="宋体" w:hAnsi="宋体" w:cs="宋体"/>
        </w:rPr>
      </w:pPr>
      <w:r>
        <w:rPr>
          <w:rFonts w:hint="eastAsia" w:ascii="宋体" w:hAnsi="宋体" w:cs="宋体"/>
        </w:rPr>
        <w:t>1.至招标文件下载截止时间止，下载招标文件的投标人少于3个的。</w:t>
      </w:r>
    </w:p>
    <w:p w14:paraId="752672BE">
      <w:pPr>
        <w:spacing w:line="360" w:lineRule="auto"/>
        <w:ind w:firstLine="420" w:firstLineChars="200"/>
        <w:rPr>
          <w:rFonts w:ascii="宋体" w:hAnsi="宋体" w:cs="宋体"/>
        </w:rPr>
      </w:pPr>
      <w:r>
        <w:rPr>
          <w:rFonts w:hint="eastAsia" w:ascii="宋体" w:hAnsi="宋体" w:cs="宋体"/>
        </w:rPr>
        <w:t>2.投标截止时间止，投标人少于3个的。</w:t>
      </w:r>
    </w:p>
    <w:p w14:paraId="5DA93504">
      <w:pPr>
        <w:spacing w:line="360" w:lineRule="auto"/>
        <w:ind w:firstLine="420" w:firstLineChars="200"/>
        <w:rPr>
          <w:rFonts w:ascii="宋体" w:hAnsi="宋体" w:cs="宋体"/>
        </w:rPr>
      </w:pPr>
      <w:r>
        <w:rPr>
          <w:rFonts w:hint="eastAsia" w:ascii="宋体" w:hAnsi="宋体" w:cs="宋体"/>
        </w:rPr>
        <w:t>3.评标委员会在评审过程中按规定否决不合格投标后，因有效投标人不足三家的，由评标委员会认定有效投标是否具有竞争性。评标委员会认为有效投标仍然具有竞争性的，对过程和结论进行充分论证并形成书面报告后，对过程和结论进行充分论证并形成书面报告后，对有效投标进行评审；如认为没有竞争性的，招标人将依法重新招标。</w:t>
      </w:r>
    </w:p>
    <w:p w14:paraId="2E195761">
      <w:pPr>
        <w:pStyle w:val="21"/>
        <w:rPr>
          <w:sz w:val="28"/>
        </w:rPr>
      </w:pPr>
      <w:bookmarkStart w:id="58" w:name="_Toc50128404"/>
      <w:r>
        <w:rPr>
          <w:rFonts w:hint="eastAsia"/>
          <w:sz w:val="28"/>
        </w:rPr>
        <w:t>五开标</w:t>
      </w:r>
      <w:bookmarkEnd w:id="58"/>
    </w:p>
    <w:p w14:paraId="2B51F4D7">
      <w:pPr>
        <w:spacing w:line="360" w:lineRule="auto"/>
        <w:ind w:firstLine="420" w:firstLineChars="200"/>
        <w:rPr>
          <w:rFonts w:ascii="宋体" w:hAnsi="宋体" w:cs="宋体"/>
        </w:rPr>
      </w:pPr>
      <w:r>
        <w:rPr>
          <w:rFonts w:hint="eastAsia" w:ascii="宋体" w:hAnsi="宋体" w:cs="宋体"/>
        </w:rPr>
        <w:t>招标人将在规定的时间和地点进行开标，投标人根据投标文件递交的截止时间前递交。投标人于投标截止时间之后三十分钟内在“浙江海港投标管家”工具端—进入项目—开标—远程开标模块，点击“确认开标结果”按钮进行确认，如超时未确认，视作投标人已对开标结果确认无误。</w:t>
      </w:r>
    </w:p>
    <w:p w14:paraId="7AA7BD3E">
      <w:pPr>
        <w:spacing w:line="360" w:lineRule="auto"/>
        <w:ind w:firstLine="420" w:firstLineChars="200"/>
        <w:rPr>
          <w:rFonts w:ascii="宋体" w:hAnsi="宋体" w:cs="宋体"/>
        </w:rPr>
      </w:pPr>
      <w:r>
        <w:rPr>
          <w:rFonts w:hint="eastAsia" w:ascii="宋体" w:hAnsi="宋体" w:cs="宋体"/>
        </w:rPr>
        <w:t>本项目采用两步开标法。第一阶段先开启各投标人的“资审文件”及“商务技术标”，第二阶段待“资审文件”及“商务技术标”完成评审公布结果后，开启各投标人的“价格标”。</w:t>
      </w:r>
    </w:p>
    <w:p w14:paraId="4498F15E">
      <w:pPr>
        <w:pStyle w:val="21"/>
        <w:rPr>
          <w:sz w:val="28"/>
        </w:rPr>
      </w:pPr>
      <w:r>
        <w:rPr>
          <w:rFonts w:hint="eastAsia"/>
          <w:sz w:val="28"/>
        </w:rPr>
        <w:t>六评标</w:t>
      </w:r>
    </w:p>
    <w:p w14:paraId="19718B0D">
      <w:pPr>
        <w:pStyle w:val="15"/>
        <w:snapToGrid w:val="0"/>
        <w:spacing w:beforeLines="0" w:afterLines="0"/>
        <w:ind w:firstLine="422" w:firstLineChars="200"/>
        <w:rPr>
          <w:rFonts w:hAnsi="宋体" w:cs="宋体"/>
          <w:b/>
          <w:sz w:val="21"/>
          <w:szCs w:val="21"/>
        </w:rPr>
      </w:pPr>
      <w:r>
        <w:rPr>
          <w:rFonts w:hint="eastAsia" w:hAnsi="宋体" w:cs="宋体"/>
          <w:b/>
          <w:sz w:val="21"/>
          <w:szCs w:val="21"/>
        </w:rPr>
        <w:t>（一）组建评标委员会</w:t>
      </w:r>
    </w:p>
    <w:p w14:paraId="659F2645">
      <w:pPr>
        <w:pStyle w:val="15"/>
        <w:snapToGrid w:val="0"/>
        <w:spacing w:beforeLines="0" w:afterLines="0"/>
        <w:ind w:firstLine="420" w:firstLineChars="200"/>
        <w:rPr>
          <w:rFonts w:hAnsi="宋体" w:cs="宋体"/>
          <w:sz w:val="21"/>
          <w:szCs w:val="21"/>
        </w:rPr>
      </w:pPr>
      <w:r>
        <w:rPr>
          <w:rFonts w:hint="eastAsia" w:hAnsi="宋体" w:cs="宋体"/>
          <w:sz w:val="21"/>
          <w:szCs w:val="21"/>
        </w:rPr>
        <w:t>本项目评标委员会由评审专家和招标人代表共5人组成。</w:t>
      </w:r>
    </w:p>
    <w:p w14:paraId="228AC53C">
      <w:pPr>
        <w:pStyle w:val="15"/>
        <w:snapToGrid w:val="0"/>
        <w:spacing w:beforeLines="0" w:afterLines="0"/>
        <w:ind w:firstLine="422" w:firstLineChars="200"/>
        <w:rPr>
          <w:rFonts w:hAnsi="宋体" w:cs="宋体"/>
          <w:b/>
          <w:sz w:val="21"/>
          <w:szCs w:val="21"/>
        </w:rPr>
      </w:pPr>
      <w:r>
        <w:rPr>
          <w:rFonts w:hint="eastAsia" w:hAnsi="宋体" w:cs="宋体"/>
          <w:b/>
          <w:sz w:val="21"/>
          <w:szCs w:val="21"/>
        </w:rPr>
        <w:t>（二）评标的方式</w:t>
      </w:r>
    </w:p>
    <w:p w14:paraId="0E62510C">
      <w:pPr>
        <w:pStyle w:val="15"/>
        <w:snapToGrid w:val="0"/>
        <w:spacing w:beforeLines="0" w:afterLines="0"/>
        <w:ind w:firstLine="420" w:firstLineChars="200"/>
        <w:rPr>
          <w:rFonts w:hAnsi="宋体" w:cs="宋体"/>
          <w:sz w:val="21"/>
          <w:szCs w:val="21"/>
        </w:rPr>
      </w:pPr>
      <w:r>
        <w:rPr>
          <w:rFonts w:hint="eastAsia" w:hAnsi="宋体" w:cs="宋体"/>
          <w:sz w:val="21"/>
          <w:szCs w:val="21"/>
        </w:rPr>
        <w:t>本项目采用不公开方式评标，评标的依据为招标文件和投标文件。</w:t>
      </w:r>
    </w:p>
    <w:p w14:paraId="1ED4451A">
      <w:pPr>
        <w:pStyle w:val="15"/>
        <w:snapToGrid w:val="0"/>
        <w:spacing w:beforeLines="0" w:afterLines="0"/>
        <w:ind w:firstLine="422" w:firstLineChars="200"/>
        <w:rPr>
          <w:rFonts w:hAnsi="宋体" w:cs="宋体"/>
          <w:b/>
          <w:sz w:val="21"/>
          <w:szCs w:val="21"/>
        </w:rPr>
      </w:pPr>
      <w:r>
        <w:rPr>
          <w:rFonts w:hint="eastAsia" w:hAnsi="宋体" w:cs="宋体"/>
          <w:b/>
          <w:sz w:val="21"/>
          <w:szCs w:val="21"/>
        </w:rPr>
        <w:t>（三）</w:t>
      </w:r>
      <w:r>
        <w:rPr>
          <w:rFonts w:hint="eastAsia" w:hAnsi="宋体" w:cs="宋体"/>
          <w:b/>
          <w:bCs/>
          <w:sz w:val="21"/>
          <w:szCs w:val="21"/>
        </w:rPr>
        <w:t>评标程序</w:t>
      </w:r>
    </w:p>
    <w:p w14:paraId="14DF9B9B">
      <w:pPr>
        <w:snapToGrid w:val="0"/>
        <w:spacing w:line="400" w:lineRule="exact"/>
        <w:ind w:firstLine="422" w:firstLineChars="200"/>
        <w:jc w:val="left"/>
        <w:rPr>
          <w:rFonts w:ascii="宋体" w:hAnsi="宋体" w:cs="宋体"/>
          <w:b/>
          <w:bCs/>
          <w:szCs w:val="21"/>
        </w:rPr>
      </w:pPr>
      <w:r>
        <w:rPr>
          <w:rFonts w:hint="eastAsia" w:ascii="宋体" w:hAnsi="宋体" w:cs="宋体"/>
          <w:b/>
          <w:bCs/>
          <w:szCs w:val="21"/>
        </w:rPr>
        <w:t>详见《第四章 评标办法及评分标准》</w:t>
      </w:r>
    </w:p>
    <w:p w14:paraId="66A7B6CC">
      <w:pPr>
        <w:pStyle w:val="15"/>
        <w:tabs>
          <w:tab w:val="left" w:pos="630"/>
        </w:tabs>
        <w:snapToGrid w:val="0"/>
        <w:spacing w:beforeLines="0" w:afterLines="0"/>
        <w:ind w:firstLine="422" w:firstLineChars="200"/>
        <w:rPr>
          <w:rFonts w:hAnsi="宋体" w:cs="宋体"/>
          <w:b/>
          <w:sz w:val="21"/>
          <w:szCs w:val="21"/>
        </w:rPr>
      </w:pPr>
      <w:r>
        <w:rPr>
          <w:rFonts w:hint="eastAsia" w:hAnsi="宋体" w:cs="宋体"/>
          <w:b/>
          <w:sz w:val="21"/>
          <w:szCs w:val="21"/>
        </w:rPr>
        <w:t>（四）评标原则和评标办法</w:t>
      </w:r>
    </w:p>
    <w:p w14:paraId="691C60AF">
      <w:pPr>
        <w:pStyle w:val="15"/>
        <w:snapToGrid w:val="0"/>
        <w:spacing w:beforeLines="0" w:afterLines="0"/>
        <w:ind w:firstLine="420" w:firstLineChars="200"/>
        <w:rPr>
          <w:rFonts w:hAnsi="宋体" w:cs="宋体"/>
          <w:sz w:val="21"/>
          <w:szCs w:val="21"/>
        </w:rPr>
      </w:pPr>
      <w:r>
        <w:rPr>
          <w:rFonts w:hint="eastAsia" w:hAnsi="宋体" w:cs="宋体"/>
          <w:sz w:val="21"/>
          <w:szCs w:val="21"/>
        </w:rPr>
        <w:t>1.评标原则。评标委员会必须公平、公正、客观，不带任何倾向性和启发性；不得向外界透露任何与评标有关的内容；任何单位和个人不得干扰、影响评标的正常进行；评标委员会及有关工作人员不得私下与投标人接触。</w:t>
      </w:r>
    </w:p>
    <w:p w14:paraId="689D773C">
      <w:pPr>
        <w:pStyle w:val="15"/>
        <w:snapToGrid w:val="0"/>
        <w:spacing w:beforeLines="0" w:afterLines="0"/>
        <w:ind w:firstLine="420" w:firstLineChars="200"/>
        <w:rPr>
          <w:rFonts w:hAnsi="宋体" w:cs="宋体"/>
          <w:sz w:val="21"/>
          <w:szCs w:val="21"/>
        </w:rPr>
      </w:pPr>
      <w:r>
        <w:rPr>
          <w:rFonts w:hint="eastAsia" w:hAnsi="宋体" w:cs="宋体"/>
          <w:sz w:val="21"/>
          <w:szCs w:val="21"/>
        </w:rPr>
        <w:t>2.评标办法。本项目评标办法是</w:t>
      </w:r>
      <w:r>
        <w:rPr>
          <w:rFonts w:hint="eastAsia" w:hAnsi="宋体" w:cs="宋体"/>
          <w:sz w:val="21"/>
          <w:szCs w:val="21"/>
          <w:u w:val="single"/>
        </w:rPr>
        <w:t>综合评分法</w:t>
      </w:r>
      <w:r>
        <w:rPr>
          <w:rFonts w:hint="eastAsia" w:hAnsi="宋体" w:cs="宋体"/>
          <w:sz w:val="21"/>
          <w:szCs w:val="21"/>
        </w:rPr>
        <w:t>，具体评标内容及评分标准等详见《第</w:t>
      </w:r>
      <w:r>
        <w:rPr>
          <w:rFonts w:hint="eastAsia" w:hAnsi="宋体" w:cs="宋体"/>
          <w:bCs/>
          <w:sz w:val="21"/>
          <w:szCs w:val="21"/>
        </w:rPr>
        <w:t>四</w:t>
      </w:r>
      <w:r>
        <w:rPr>
          <w:rFonts w:hint="eastAsia" w:hAnsi="宋体" w:cs="宋体"/>
          <w:sz w:val="21"/>
          <w:szCs w:val="21"/>
        </w:rPr>
        <w:t>章：评标办法及评分标准》。</w:t>
      </w:r>
    </w:p>
    <w:p w14:paraId="7F3BB482">
      <w:pPr>
        <w:pStyle w:val="15"/>
        <w:snapToGrid w:val="0"/>
        <w:spacing w:beforeLines="0" w:afterLines="0"/>
        <w:ind w:firstLine="422" w:firstLineChars="200"/>
        <w:rPr>
          <w:rFonts w:hAnsi="宋体" w:cs="宋体"/>
          <w:b/>
          <w:sz w:val="21"/>
          <w:szCs w:val="21"/>
        </w:rPr>
      </w:pPr>
      <w:r>
        <w:rPr>
          <w:rFonts w:hint="eastAsia" w:hAnsi="宋体" w:cs="宋体"/>
          <w:b/>
          <w:sz w:val="21"/>
          <w:szCs w:val="21"/>
        </w:rPr>
        <w:t>（五）评标过程的监控</w:t>
      </w:r>
    </w:p>
    <w:p w14:paraId="0DABE0B2">
      <w:pPr>
        <w:pStyle w:val="15"/>
        <w:snapToGrid w:val="0"/>
        <w:spacing w:beforeLines="0" w:afterLines="0"/>
        <w:ind w:firstLine="420" w:firstLineChars="200"/>
        <w:rPr>
          <w:rFonts w:hAnsi="宋体" w:cs="宋体"/>
          <w:sz w:val="21"/>
          <w:szCs w:val="21"/>
        </w:rPr>
      </w:pPr>
      <w:r>
        <w:rPr>
          <w:rFonts w:hint="eastAsia" w:hAnsi="宋体" w:cs="宋体"/>
          <w:sz w:val="21"/>
          <w:szCs w:val="21"/>
        </w:rPr>
        <w:t>投标人在评标过程中所进行的试图影响评标结果的不公正活动，可能导致其投标被拒绝。</w:t>
      </w:r>
    </w:p>
    <w:p w14:paraId="41790898">
      <w:pPr>
        <w:pStyle w:val="15"/>
        <w:snapToGrid w:val="0"/>
        <w:spacing w:beforeLines="0" w:afterLines="0"/>
        <w:ind w:firstLine="422" w:firstLineChars="200"/>
        <w:rPr>
          <w:rFonts w:hAnsi="宋体" w:cs="宋体"/>
          <w:b/>
          <w:sz w:val="21"/>
          <w:szCs w:val="21"/>
        </w:rPr>
      </w:pPr>
      <w:bookmarkStart w:id="59" w:name="_Toc50128405"/>
      <w:r>
        <w:rPr>
          <w:rFonts w:hint="eastAsia" w:hAnsi="宋体" w:cs="宋体"/>
          <w:b/>
          <w:sz w:val="21"/>
          <w:szCs w:val="21"/>
        </w:rPr>
        <w:t>（六）中标候选人</w:t>
      </w:r>
      <w:bookmarkEnd w:id="59"/>
    </w:p>
    <w:p w14:paraId="4FDE9C81">
      <w:pPr>
        <w:snapToGrid w:val="0"/>
        <w:spacing w:line="400" w:lineRule="exact"/>
        <w:ind w:firstLine="422" w:firstLineChars="200"/>
        <w:jc w:val="left"/>
        <w:rPr>
          <w:rFonts w:ascii="宋体" w:hAnsi="宋体" w:cs="宋体"/>
          <w:b/>
          <w:szCs w:val="21"/>
        </w:rPr>
      </w:pPr>
      <w:r>
        <w:rPr>
          <w:rFonts w:hint="eastAsia" w:ascii="宋体" w:hAnsi="宋体" w:cs="宋体"/>
          <w:b/>
          <w:szCs w:val="21"/>
        </w:rPr>
        <w:t>1.评标委员会根据各投标人的综合得分高低排定顺序，推荐综合得分最高的投标人为第一中标候选人；综合得分第二的投标人为第二中标候选人</w:t>
      </w:r>
      <w:r>
        <w:rPr>
          <w:rFonts w:hint="eastAsia" w:ascii="宋体" w:hAnsi="宋体" w:cs="宋体"/>
          <w:szCs w:val="21"/>
        </w:rPr>
        <w:t>（得分相同投标下浮比例大的排序优先；得分相同且投标下浮比例相同的，抽签决定）</w:t>
      </w:r>
      <w:r>
        <w:rPr>
          <w:rFonts w:hint="eastAsia" w:ascii="宋体" w:hAnsi="宋体" w:cs="宋体"/>
          <w:b/>
          <w:szCs w:val="21"/>
        </w:rPr>
        <w:t>。招标人根据评标委员会推荐的中标候选人确定中标人。</w:t>
      </w:r>
    </w:p>
    <w:p w14:paraId="0F4C00FF">
      <w:pPr>
        <w:snapToGrid w:val="0"/>
        <w:spacing w:line="400" w:lineRule="exact"/>
        <w:ind w:firstLine="420" w:firstLineChars="200"/>
        <w:jc w:val="left"/>
        <w:rPr>
          <w:rFonts w:ascii="宋体" w:hAnsi="宋体" w:cs="宋体"/>
          <w:szCs w:val="21"/>
        </w:rPr>
      </w:pPr>
      <w:r>
        <w:rPr>
          <w:rFonts w:hint="eastAsia" w:ascii="宋体" w:hAnsi="宋体" w:cs="宋体"/>
          <w:szCs w:val="21"/>
        </w:rPr>
        <w:t>2.中标人拖延、拒签合同或拒交履约保证金的或在本次招标活动中存在违法违规行为,将被扣罚投标保证金并取消中标资格。</w:t>
      </w:r>
    </w:p>
    <w:p w14:paraId="15C4354B">
      <w:pPr>
        <w:spacing w:line="400" w:lineRule="exact"/>
        <w:ind w:firstLine="420" w:firstLineChars="200"/>
        <w:rPr>
          <w:rFonts w:ascii="宋体" w:hAnsi="宋体" w:cs="宋体"/>
          <w:b/>
          <w:szCs w:val="21"/>
        </w:rPr>
      </w:pPr>
      <w:r>
        <w:rPr>
          <w:rFonts w:hint="eastAsia" w:ascii="宋体" w:hAnsi="宋体" w:cs="宋体"/>
          <w:szCs w:val="21"/>
        </w:rPr>
        <w:t>3.中标候选人放弃中标；因不可抗力提出不能履行合同；或者招标文件规定应当提交履约保证金而在规定的期限内未能提交的；或未能在规定时间内与招标人签订合同的；或者经质疑，招标人审查后，确因中标候选人在本次招标活动中存在违法违规行为或其他原因使质疑成立的，招标人可选择第二中标候选人为中标人或重新招标。</w:t>
      </w:r>
    </w:p>
    <w:p w14:paraId="2A7FAFD6">
      <w:pPr>
        <w:tabs>
          <w:tab w:val="left" w:pos="425"/>
          <w:tab w:val="left" w:pos="540"/>
        </w:tabs>
        <w:spacing w:line="400" w:lineRule="exact"/>
        <w:ind w:firstLine="420" w:firstLineChars="200"/>
        <w:rPr>
          <w:rFonts w:ascii="宋体" w:hAnsi="宋体" w:cs="宋体"/>
          <w:bCs/>
          <w:szCs w:val="21"/>
        </w:rPr>
      </w:pPr>
      <w:r>
        <w:rPr>
          <w:rFonts w:hint="eastAsia" w:ascii="宋体" w:hAnsi="宋体" w:cs="宋体"/>
          <w:bCs/>
          <w:szCs w:val="21"/>
        </w:rPr>
        <w:t>4.招标人对决标结果不做任何解释，也不保证最低报价中标。</w:t>
      </w:r>
    </w:p>
    <w:p w14:paraId="13A00513">
      <w:pPr>
        <w:pStyle w:val="15"/>
        <w:snapToGrid w:val="0"/>
        <w:spacing w:beforeLines="0" w:afterLines="0"/>
        <w:ind w:firstLine="422" w:firstLineChars="200"/>
        <w:rPr>
          <w:rFonts w:hAnsi="宋体" w:cs="宋体"/>
          <w:b/>
          <w:sz w:val="21"/>
          <w:szCs w:val="21"/>
        </w:rPr>
      </w:pPr>
      <w:bookmarkStart w:id="60" w:name="_Toc50128406"/>
      <w:r>
        <w:rPr>
          <w:rFonts w:hint="eastAsia" w:hAnsi="宋体" w:cs="宋体"/>
          <w:b/>
          <w:sz w:val="21"/>
          <w:szCs w:val="21"/>
        </w:rPr>
        <w:t>（七）合同授予</w:t>
      </w:r>
      <w:bookmarkEnd w:id="60"/>
    </w:p>
    <w:p w14:paraId="73C30357">
      <w:pPr>
        <w:tabs>
          <w:tab w:val="left" w:pos="540"/>
        </w:tabs>
        <w:spacing w:line="420" w:lineRule="exact"/>
        <w:ind w:left="-2" w:leftChars="-1" w:firstLine="422" w:firstLineChars="200"/>
        <w:rPr>
          <w:rFonts w:ascii="宋体" w:hAnsi="宋体" w:cs="宋体"/>
          <w:bCs/>
          <w:szCs w:val="21"/>
        </w:rPr>
      </w:pPr>
      <w:r>
        <w:rPr>
          <w:rFonts w:hint="eastAsia" w:ascii="宋体" w:hAnsi="宋体" w:cs="宋体"/>
          <w:b/>
          <w:szCs w:val="21"/>
        </w:rPr>
        <w:t>1.评审结束后，招标人将对评标专家推荐的第一中标候选人进行最终审查，审查内容主要是中标人是否有能力（财务、技术和生产能力）履行合同。</w:t>
      </w:r>
      <w:r>
        <w:rPr>
          <w:rFonts w:hint="eastAsia" w:ascii="宋体" w:hAnsi="宋体" w:cs="宋体"/>
          <w:bCs/>
          <w:szCs w:val="21"/>
        </w:rPr>
        <w:t>审查通过，招标人将把中标合同授予该中标人；审查未通过，招标人将拒绝其中标，</w:t>
      </w:r>
      <w:r>
        <w:rPr>
          <w:rFonts w:hint="eastAsia" w:ascii="宋体" w:hAnsi="宋体"/>
          <w:szCs w:val="21"/>
        </w:rPr>
        <w:t>并可以将</w:t>
      </w:r>
      <w:r>
        <w:rPr>
          <w:rFonts w:hint="eastAsia" w:ascii="宋体" w:hAnsi="宋体" w:cs="宋体"/>
          <w:bCs/>
          <w:szCs w:val="21"/>
        </w:rPr>
        <w:t>合同授予审查通过的</w:t>
      </w:r>
      <w:r>
        <w:rPr>
          <w:rFonts w:hint="eastAsia" w:ascii="宋体" w:hAnsi="宋体"/>
          <w:szCs w:val="21"/>
        </w:rPr>
        <w:t>第二中标候选人或重新招标</w:t>
      </w:r>
      <w:r>
        <w:rPr>
          <w:rFonts w:hint="eastAsia" w:ascii="宋体" w:hAnsi="宋体" w:cs="宋体"/>
          <w:bCs/>
          <w:szCs w:val="21"/>
        </w:rPr>
        <w:t>。</w:t>
      </w:r>
    </w:p>
    <w:p w14:paraId="096EBCEC">
      <w:pPr>
        <w:tabs>
          <w:tab w:val="left" w:pos="540"/>
        </w:tabs>
        <w:spacing w:line="460" w:lineRule="exact"/>
        <w:ind w:left="-2" w:leftChars="-1" w:firstLine="420" w:firstLineChars="200"/>
        <w:rPr>
          <w:rFonts w:ascii="宋体" w:hAnsi="宋体" w:cs="宋体"/>
          <w:bCs/>
          <w:szCs w:val="21"/>
        </w:rPr>
      </w:pPr>
      <w:r>
        <w:rPr>
          <w:rFonts w:hint="eastAsia" w:ascii="宋体" w:hAnsi="宋体" w:cs="宋体"/>
          <w:bCs/>
          <w:szCs w:val="21"/>
        </w:rPr>
        <w:t>2. 评标专家确定的中标候选人在本项目招标指定信息发布媒体上公示，评标结果</w:t>
      </w:r>
      <w:r>
        <w:rPr>
          <w:rFonts w:hint="eastAsia" w:ascii="宋体" w:hAnsi="宋体" w:cs="宋体"/>
          <w:szCs w:val="21"/>
        </w:rPr>
        <w:t>公示期限为3个工作日</w:t>
      </w:r>
      <w:r>
        <w:rPr>
          <w:rFonts w:hint="eastAsia" w:ascii="宋体" w:hAnsi="宋体"/>
          <w:bCs/>
          <w:szCs w:val="21"/>
        </w:rPr>
        <w:t>。</w:t>
      </w:r>
      <w:r>
        <w:rPr>
          <w:rFonts w:hint="eastAsia" w:ascii="宋体" w:hAnsi="宋体" w:cs="宋体"/>
          <w:bCs/>
          <w:szCs w:val="21"/>
        </w:rPr>
        <w:t>各投标人对评标结果如有异议，可在规定时间内以书面形式向招标人进行署名投诉或提出质疑，但需对投诉或质疑内容的真实性承担法律责任。</w:t>
      </w:r>
    </w:p>
    <w:p w14:paraId="35880C36">
      <w:pPr>
        <w:tabs>
          <w:tab w:val="left" w:pos="540"/>
        </w:tabs>
        <w:spacing w:line="460" w:lineRule="exact"/>
        <w:ind w:left="-2" w:leftChars="-1" w:firstLine="420" w:firstLineChars="200"/>
        <w:rPr>
          <w:rFonts w:ascii="宋体" w:hAnsi="宋体" w:cs="宋体"/>
          <w:bCs/>
          <w:szCs w:val="21"/>
        </w:rPr>
      </w:pPr>
      <w:r>
        <w:rPr>
          <w:rFonts w:hint="eastAsia" w:ascii="宋体" w:hAnsi="宋体" w:cs="宋体"/>
          <w:bCs/>
          <w:szCs w:val="21"/>
        </w:rPr>
        <w:t>3.公示期结束后，中标候选人经招标人审查合格，</w:t>
      </w:r>
      <w:r>
        <w:rPr>
          <w:rFonts w:hint="eastAsia" w:ascii="新宋体" w:hAnsi="新宋体" w:eastAsia="新宋体" w:cs="新宋体"/>
          <w:szCs w:val="21"/>
        </w:rPr>
        <w:t>招标人向中标人发出中标通知书，</w:t>
      </w:r>
      <w:r>
        <w:rPr>
          <w:rFonts w:hint="eastAsia" w:ascii="宋体" w:hAnsi="宋体"/>
          <w:szCs w:val="21"/>
        </w:rPr>
        <w:t>中标通知书是合同的一个组成部分,对招标人和中标人均具有同等法律效力。</w:t>
      </w:r>
    </w:p>
    <w:p w14:paraId="1CE38EB2">
      <w:pPr>
        <w:tabs>
          <w:tab w:val="left" w:pos="540"/>
        </w:tabs>
        <w:snapToGrid w:val="0"/>
        <w:spacing w:line="460" w:lineRule="exact"/>
        <w:ind w:left="-2" w:leftChars="-1" w:firstLine="407" w:firstLineChars="194"/>
        <w:jc w:val="left"/>
        <w:rPr>
          <w:rFonts w:ascii="宋体" w:hAnsi="宋体"/>
          <w:color w:val="000000"/>
          <w:szCs w:val="21"/>
        </w:rPr>
      </w:pPr>
      <w:r>
        <w:rPr>
          <w:rFonts w:hint="eastAsia" w:ascii="宋体" w:hAnsi="宋体"/>
          <w:color w:val="000000"/>
          <w:szCs w:val="21"/>
        </w:rPr>
        <w:t>4.招标人与</w:t>
      </w:r>
      <w:r>
        <w:rPr>
          <w:rFonts w:ascii="宋体" w:hAnsi="宋体"/>
          <w:color w:val="000000"/>
          <w:szCs w:val="21"/>
        </w:rPr>
        <w:t>中标人应</w:t>
      </w:r>
      <w:r>
        <w:rPr>
          <w:rFonts w:hint="eastAsia" w:ascii="宋体" w:hAnsi="宋体"/>
          <w:color w:val="000000"/>
          <w:szCs w:val="21"/>
        </w:rPr>
        <w:t>当在《</w:t>
      </w:r>
      <w:r>
        <w:rPr>
          <w:rFonts w:ascii="宋体" w:hAnsi="宋体"/>
          <w:color w:val="000000"/>
          <w:szCs w:val="21"/>
        </w:rPr>
        <w:t>中标通知书</w:t>
      </w:r>
      <w:r>
        <w:rPr>
          <w:rFonts w:hint="eastAsia" w:ascii="宋体" w:hAnsi="宋体"/>
          <w:color w:val="000000"/>
          <w:szCs w:val="21"/>
        </w:rPr>
        <w:t>》发出之日起</w:t>
      </w:r>
      <w:r>
        <w:rPr>
          <w:rFonts w:ascii="宋体" w:hAnsi="宋体"/>
          <w:b/>
          <w:color w:val="000000"/>
          <w:szCs w:val="21"/>
          <w:u w:val="single"/>
        </w:rPr>
        <w:t>30</w:t>
      </w:r>
      <w:r>
        <w:rPr>
          <w:rFonts w:hint="eastAsia" w:ascii="宋体" w:hAnsi="宋体"/>
          <w:color w:val="000000"/>
          <w:szCs w:val="21"/>
        </w:rPr>
        <w:t>日内签订合同。同时，招标人位对合同内容进行审查，如发现与采购结果和投标承诺内容不一致的，应予以纠正。</w:t>
      </w:r>
    </w:p>
    <w:p w14:paraId="45F4FA51">
      <w:pPr>
        <w:pStyle w:val="15"/>
        <w:snapToGrid w:val="0"/>
        <w:spacing w:beforeLines="0" w:afterLines="0"/>
        <w:ind w:firstLine="422" w:firstLineChars="200"/>
        <w:rPr>
          <w:rFonts w:hAnsi="宋体" w:cs="宋体"/>
          <w:b/>
          <w:color w:val="000000"/>
          <w:sz w:val="21"/>
          <w:szCs w:val="21"/>
        </w:rPr>
      </w:pPr>
      <w:r>
        <w:rPr>
          <w:rFonts w:hint="eastAsia" w:hAnsi="宋体" w:cs="宋体"/>
          <w:b/>
          <w:color w:val="000000"/>
          <w:sz w:val="21"/>
          <w:szCs w:val="21"/>
        </w:rPr>
        <w:t>（八）履约保证金</w:t>
      </w:r>
    </w:p>
    <w:p w14:paraId="7776EA5F">
      <w:pPr>
        <w:tabs>
          <w:tab w:val="left" w:pos="540"/>
        </w:tabs>
        <w:spacing w:line="460" w:lineRule="exact"/>
        <w:ind w:left="-2" w:leftChars="-1" w:firstLine="430" w:firstLineChars="194"/>
        <w:rPr>
          <w:rFonts w:ascii="宋体" w:hAnsi="宋体"/>
          <w:spacing w:val="6"/>
          <w:szCs w:val="21"/>
        </w:rPr>
      </w:pPr>
      <w:r>
        <w:rPr>
          <w:rFonts w:ascii="宋体" w:hAnsi="宋体"/>
          <w:spacing w:val="6"/>
          <w:szCs w:val="21"/>
        </w:rPr>
        <w:t>1.中标人在收到中标通知书后，签订合同前须向招标人</w:t>
      </w:r>
      <w:r>
        <w:rPr>
          <w:rFonts w:hint="eastAsia" w:ascii="宋体" w:hAnsi="宋体"/>
          <w:spacing w:val="6"/>
          <w:szCs w:val="21"/>
        </w:rPr>
        <w:t>提交项目预算的5%的履约保证金。</w:t>
      </w:r>
    </w:p>
    <w:p w14:paraId="0B92D49F">
      <w:pPr>
        <w:tabs>
          <w:tab w:val="left" w:pos="540"/>
        </w:tabs>
        <w:spacing w:line="460" w:lineRule="exact"/>
        <w:ind w:left="-2" w:leftChars="-1" w:firstLine="430" w:firstLineChars="194"/>
        <w:rPr>
          <w:rFonts w:ascii="宋体" w:hAnsi="宋体"/>
          <w:spacing w:val="6"/>
          <w:szCs w:val="21"/>
        </w:rPr>
      </w:pPr>
      <w:r>
        <w:rPr>
          <w:rFonts w:ascii="宋体" w:hAnsi="宋体"/>
          <w:spacing w:val="6"/>
          <w:szCs w:val="21"/>
        </w:rPr>
        <w:t>2.履约保证金用于补偿招标人</w:t>
      </w:r>
      <w:r>
        <w:rPr>
          <w:rFonts w:hint="eastAsia" w:ascii="宋体" w:hAnsi="宋体"/>
          <w:spacing w:val="6"/>
          <w:szCs w:val="21"/>
        </w:rPr>
        <w:t>因中标人不能完成其合同义务而蒙受的损失。</w:t>
      </w:r>
    </w:p>
    <w:p w14:paraId="163C958E">
      <w:pPr>
        <w:tabs>
          <w:tab w:val="left" w:pos="540"/>
        </w:tabs>
        <w:spacing w:line="460" w:lineRule="exact"/>
        <w:ind w:left="-2" w:leftChars="-1" w:firstLine="430" w:firstLineChars="194"/>
        <w:rPr>
          <w:rFonts w:ascii="宋体" w:hAnsi="宋体"/>
          <w:spacing w:val="6"/>
          <w:szCs w:val="21"/>
        </w:rPr>
      </w:pPr>
      <w:r>
        <w:rPr>
          <w:rFonts w:ascii="宋体" w:hAnsi="宋体"/>
          <w:spacing w:val="6"/>
          <w:szCs w:val="21"/>
        </w:rPr>
        <w:t>3.</w:t>
      </w:r>
      <w:r>
        <w:rPr>
          <w:rFonts w:hint="eastAsia" w:ascii="宋体" w:hAnsi="宋体"/>
          <w:spacing w:val="6"/>
          <w:szCs w:val="21"/>
        </w:rPr>
        <w:t>在验收合格后，履约保证金自动转为质保金，待质保期到期，甲方收到乙方开具的正式收据后30个日历天内，无息向乙方退还质保金。</w:t>
      </w:r>
    </w:p>
    <w:p w14:paraId="43F44FF7">
      <w:pPr>
        <w:tabs>
          <w:tab w:val="left" w:pos="540"/>
        </w:tabs>
        <w:spacing w:line="460" w:lineRule="exact"/>
        <w:ind w:left="-2" w:leftChars="-1" w:firstLine="430" w:firstLineChars="194"/>
        <w:rPr>
          <w:rFonts w:ascii="宋体" w:hAnsi="宋体"/>
          <w:spacing w:val="6"/>
          <w:szCs w:val="21"/>
        </w:rPr>
      </w:pPr>
      <w:bookmarkStart w:id="61" w:name="_Toc50128407"/>
    </w:p>
    <w:p w14:paraId="50F12C3F">
      <w:pPr>
        <w:tabs>
          <w:tab w:val="left" w:pos="540"/>
        </w:tabs>
        <w:spacing w:line="460" w:lineRule="exact"/>
        <w:ind w:left="-2" w:leftChars="-1" w:firstLine="430" w:firstLineChars="194"/>
        <w:rPr>
          <w:rFonts w:ascii="宋体" w:hAnsi="宋体"/>
          <w:spacing w:val="6"/>
          <w:szCs w:val="21"/>
        </w:rPr>
      </w:pPr>
    </w:p>
    <w:p w14:paraId="0FC44FF6">
      <w:r>
        <w:rPr>
          <w:rFonts w:hint="eastAsia"/>
        </w:rPr>
        <w:br w:type="page"/>
      </w:r>
    </w:p>
    <w:p w14:paraId="573B10D9">
      <w:pPr>
        <w:pStyle w:val="21"/>
        <w:outlineLvl w:val="0"/>
      </w:pPr>
      <w:bookmarkStart w:id="62" w:name="_Toc13389"/>
      <w:r>
        <w:rPr>
          <w:rFonts w:hint="eastAsia"/>
        </w:rPr>
        <w:t>第四章评标办法及评分标准</w:t>
      </w:r>
      <w:bookmarkEnd w:id="61"/>
      <w:bookmarkEnd w:id="62"/>
    </w:p>
    <w:p w14:paraId="0D53DCB1">
      <w:pPr>
        <w:pStyle w:val="8"/>
        <w:spacing w:before="156" w:beforeLines="50" w:after="156" w:afterLines="50" w:line="360" w:lineRule="auto"/>
        <w:outlineLvl w:val="1"/>
        <w:rPr>
          <w:rFonts w:ascii="宋体" w:hAnsi="宋体" w:cs="宋体"/>
          <w:b/>
          <w:sz w:val="22"/>
          <w:szCs w:val="22"/>
        </w:rPr>
      </w:pPr>
      <w:bookmarkStart w:id="63" w:name="_Toc221356898"/>
      <w:bookmarkStart w:id="64" w:name="_Toc221356961"/>
      <w:r>
        <w:rPr>
          <w:rFonts w:hint="eastAsia" w:ascii="宋体" w:hAnsi="宋体" w:cs="宋体"/>
          <w:b/>
          <w:sz w:val="22"/>
          <w:szCs w:val="22"/>
        </w:rPr>
        <w:t>一、总  则</w:t>
      </w:r>
      <w:bookmarkEnd w:id="63"/>
      <w:bookmarkEnd w:id="64"/>
    </w:p>
    <w:p w14:paraId="5AFC9CAB">
      <w:pPr>
        <w:spacing w:line="360" w:lineRule="auto"/>
        <w:ind w:firstLine="422" w:firstLineChars="200"/>
        <w:rPr>
          <w:rFonts w:ascii="宋体" w:hAnsi="宋体" w:cs="宋体"/>
          <w:sz w:val="22"/>
          <w:szCs w:val="22"/>
        </w:rPr>
      </w:pPr>
      <w:r>
        <w:rPr>
          <w:rFonts w:hint="eastAsia" w:ascii="宋体" w:hAnsi="宋体" w:cs="宋体"/>
          <w:b/>
          <w:bCs/>
          <w:szCs w:val="21"/>
        </w:rPr>
        <w:t>温州金洋集装箱码头有限公司温州金洋集装箱码头有限公司25吨叉车维修</w:t>
      </w:r>
      <w:r>
        <w:rPr>
          <w:rFonts w:hint="eastAsia" w:ascii="宋体" w:hAnsi="宋体" w:cs="宋体"/>
          <w:szCs w:val="21"/>
        </w:rPr>
        <w:t>采取公开招标形式选择投标人。为保证招标“公开、公平、公正”，根据相关法律、法规，结合本项目的特点，制定本评标办法。</w:t>
      </w:r>
    </w:p>
    <w:p w14:paraId="4AEA1375">
      <w:pPr>
        <w:spacing w:line="360" w:lineRule="auto"/>
        <w:outlineLvl w:val="1"/>
        <w:rPr>
          <w:rFonts w:ascii="宋体" w:hAnsi="宋体" w:cs="宋体"/>
          <w:b/>
          <w:sz w:val="22"/>
          <w:szCs w:val="22"/>
        </w:rPr>
      </w:pPr>
      <w:r>
        <w:rPr>
          <w:rFonts w:hint="eastAsia" w:ascii="宋体" w:hAnsi="宋体" w:cs="宋体"/>
          <w:b/>
          <w:sz w:val="22"/>
          <w:szCs w:val="22"/>
        </w:rPr>
        <w:t>二、评标组织</w:t>
      </w:r>
    </w:p>
    <w:p w14:paraId="27AB6E8D">
      <w:pPr>
        <w:spacing w:line="360" w:lineRule="auto"/>
        <w:ind w:firstLine="440" w:firstLineChars="200"/>
        <w:rPr>
          <w:rFonts w:ascii="宋体" w:hAnsi="宋体" w:cs="宋体"/>
          <w:sz w:val="22"/>
          <w:szCs w:val="22"/>
        </w:rPr>
      </w:pPr>
      <w:r>
        <w:rPr>
          <w:rFonts w:hint="eastAsia" w:ascii="宋体" w:hAnsi="宋体" w:cs="宋体"/>
          <w:sz w:val="22"/>
          <w:szCs w:val="22"/>
        </w:rPr>
        <w:t>评标委员会：根据项目的内容特点按照相关规定组建评标委员会。评标委员会由招标人代表、技术及经济方面专家等有关人员组成。</w:t>
      </w:r>
    </w:p>
    <w:p w14:paraId="1369CBF5">
      <w:pPr>
        <w:spacing w:line="360" w:lineRule="auto"/>
        <w:outlineLvl w:val="1"/>
        <w:rPr>
          <w:rFonts w:ascii="宋体" w:hAnsi="宋体" w:cs="宋体"/>
          <w:sz w:val="22"/>
          <w:szCs w:val="22"/>
        </w:rPr>
      </w:pPr>
      <w:r>
        <w:rPr>
          <w:rFonts w:hint="eastAsia" w:ascii="宋体" w:hAnsi="宋体" w:cs="宋体"/>
          <w:b/>
          <w:sz w:val="22"/>
          <w:szCs w:val="22"/>
        </w:rPr>
        <w:t>三、评标程序</w:t>
      </w:r>
    </w:p>
    <w:p w14:paraId="443BEBBA">
      <w:pPr>
        <w:keepNext/>
        <w:keepLines/>
        <w:spacing w:line="360" w:lineRule="auto"/>
        <w:ind w:firstLine="422" w:firstLineChars="200"/>
        <w:rPr>
          <w:rFonts w:ascii="宋体" w:hAnsi="宋体" w:cs="宋体"/>
          <w:b/>
          <w:bCs/>
          <w:kern w:val="0"/>
          <w:szCs w:val="28"/>
        </w:rPr>
      </w:pPr>
      <w:r>
        <w:rPr>
          <w:rFonts w:hint="eastAsia" w:ascii="宋体" w:hAnsi="宋体" w:cs="宋体"/>
          <w:b/>
          <w:bCs/>
          <w:kern w:val="0"/>
          <w:szCs w:val="28"/>
        </w:rPr>
        <w:t>1. 第一阶段评审</w:t>
      </w:r>
    </w:p>
    <w:p w14:paraId="2B8D7361">
      <w:pPr>
        <w:keepNext/>
        <w:keepLines/>
        <w:spacing w:line="360" w:lineRule="auto"/>
        <w:ind w:firstLine="422" w:firstLineChars="200"/>
        <w:rPr>
          <w:rFonts w:ascii="宋体" w:hAnsi="宋体" w:cs="宋体"/>
          <w:b/>
          <w:bCs/>
          <w:kern w:val="0"/>
          <w:szCs w:val="28"/>
        </w:rPr>
      </w:pPr>
      <w:r>
        <w:rPr>
          <w:rFonts w:hint="eastAsia" w:ascii="宋体" w:hAnsi="宋体" w:cs="宋体"/>
          <w:b/>
          <w:bCs/>
          <w:kern w:val="0"/>
          <w:szCs w:val="28"/>
        </w:rPr>
        <w:t>1.1资审文件及商务技术标初步审查</w:t>
      </w:r>
    </w:p>
    <w:p w14:paraId="42DCC2F5">
      <w:pPr>
        <w:spacing w:line="360" w:lineRule="auto"/>
        <w:ind w:firstLine="420" w:firstLineChars="200"/>
        <w:rPr>
          <w:rFonts w:ascii="宋体" w:hAnsi="宋体" w:cs="宋体"/>
        </w:rPr>
      </w:pPr>
      <w:r>
        <w:rPr>
          <w:rFonts w:hint="eastAsia" w:ascii="宋体" w:hAnsi="宋体" w:cs="宋体"/>
        </w:rPr>
        <w:t>初审分为资格审查和初步评审。</w:t>
      </w:r>
    </w:p>
    <w:p w14:paraId="6D9F2882">
      <w:pPr>
        <w:spacing w:line="360" w:lineRule="auto"/>
        <w:ind w:firstLine="420" w:firstLineChars="200"/>
        <w:rPr>
          <w:rFonts w:ascii="宋体" w:hAnsi="宋体" w:cs="宋体"/>
        </w:rPr>
      </w:pPr>
      <w:r>
        <w:rPr>
          <w:rFonts w:hint="eastAsia" w:ascii="宋体" w:hAnsi="宋体" w:cs="宋体"/>
        </w:rPr>
        <w:t>资格审查。依据法律法规和招标文件的规定，对投标文件中的资格证明等进行审查，以确定投标供应商是否具备投标资格。</w:t>
      </w:r>
    </w:p>
    <w:p w14:paraId="6F01F67E">
      <w:pPr>
        <w:spacing w:line="360" w:lineRule="auto"/>
        <w:ind w:firstLine="420" w:firstLineChars="200"/>
        <w:rPr>
          <w:rFonts w:ascii="宋体" w:hAnsi="宋体" w:cs="宋体"/>
        </w:rPr>
      </w:pPr>
      <w:r>
        <w:rPr>
          <w:rFonts w:hint="eastAsia" w:ascii="宋体" w:hAnsi="宋体" w:cs="宋体"/>
        </w:rPr>
        <w:t>初步评审。依据招标文件的规定，从投标文件的有效性、完整性、投标保证金和对招标文件的响应程度进行审查，以确定是否对招标文件的实质性要求作出响应。</w:t>
      </w:r>
    </w:p>
    <w:p w14:paraId="767C85FB">
      <w:pPr>
        <w:spacing w:line="360" w:lineRule="auto"/>
        <w:ind w:firstLine="420" w:firstLineChars="200"/>
        <w:rPr>
          <w:rFonts w:ascii="宋体" w:hAnsi="宋体" w:cs="宋体"/>
        </w:rPr>
      </w:pPr>
      <w:r>
        <w:t>评标委员会在评审过程中按规定否决不合格投标或界定为无效标后，因有效投标人不足三家的，由评标委员会认定本项目剩余有效投标是否具有竞争性，</w:t>
      </w:r>
      <w:r>
        <w:rPr>
          <w:rFonts w:hint="eastAsia"/>
        </w:rPr>
        <w:t>评标委员会认为有效投标仍然具有竞争性的，对过程和结论进行充分论证并形成书面报告后，</w:t>
      </w:r>
      <w:r>
        <w:t>对有效投标进行评审；如认为没有竞争性的，招标人将依法重新招标</w:t>
      </w:r>
      <w:r>
        <w:rPr>
          <w:rFonts w:hint="eastAsia" w:ascii="宋体" w:hAnsi="宋体" w:cs="宋体"/>
        </w:rPr>
        <w:t>。</w:t>
      </w:r>
    </w:p>
    <w:p w14:paraId="4EFB70B9">
      <w:pPr>
        <w:keepNext/>
        <w:keepLines/>
        <w:spacing w:line="360" w:lineRule="auto"/>
        <w:ind w:firstLine="422" w:firstLineChars="200"/>
        <w:rPr>
          <w:rFonts w:ascii="宋体" w:hAnsi="宋体" w:cs="宋体"/>
          <w:b/>
          <w:bCs/>
          <w:kern w:val="0"/>
          <w:szCs w:val="28"/>
        </w:rPr>
      </w:pPr>
      <w:r>
        <w:rPr>
          <w:rFonts w:hint="eastAsia" w:ascii="宋体" w:hAnsi="宋体" w:cs="宋体"/>
          <w:b/>
          <w:bCs/>
          <w:kern w:val="0"/>
          <w:szCs w:val="28"/>
        </w:rPr>
        <w:t>1.2商务技术标详细评审</w:t>
      </w:r>
    </w:p>
    <w:p w14:paraId="353729E5">
      <w:pPr>
        <w:spacing w:line="360" w:lineRule="auto"/>
        <w:ind w:firstLine="420" w:firstLineChars="200"/>
        <w:rPr>
          <w:rFonts w:ascii="宋体" w:hAnsi="宋体" w:cs="宋体"/>
        </w:rPr>
      </w:pPr>
      <w:r>
        <w:rPr>
          <w:rFonts w:hint="eastAsia" w:ascii="宋体" w:hAnsi="宋体" w:cs="宋体"/>
        </w:rPr>
        <w:t>评标委员会对初步评审合格的投标文件，依照本办法对技术、商务内容作进一步评审、比较。评标委员会成员经过阅标、审标和询标，对各投标人进行综合评分。</w:t>
      </w:r>
    </w:p>
    <w:p w14:paraId="7DDFE707">
      <w:pPr>
        <w:spacing w:line="360" w:lineRule="auto"/>
        <w:ind w:firstLine="420" w:firstLineChars="200"/>
        <w:rPr>
          <w:rFonts w:ascii="宋体" w:hAnsi="宋体" w:cs="宋体"/>
        </w:rPr>
      </w:pPr>
      <w:r>
        <w:rPr>
          <w:rFonts w:hint="eastAsia" w:ascii="宋体" w:hAnsi="宋体" w:cs="宋体"/>
        </w:rPr>
        <w:t>详细评审即以招标文件为依据，对所有实质上响应的投标分别从“商务”、“技术”两个方面进行评审并按照评分标准进行打分。</w:t>
      </w:r>
    </w:p>
    <w:p w14:paraId="28DBC32C">
      <w:pPr>
        <w:spacing w:line="360" w:lineRule="auto"/>
        <w:ind w:firstLine="420" w:firstLineChars="200"/>
        <w:rPr>
          <w:rFonts w:ascii="宋体" w:hAnsi="宋体" w:cs="宋体"/>
        </w:rPr>
      </w:pPr>
      <w:r>
        <w:rPr>
          <w:rFonts w:hint="eastAsia" w:ascii="宋体" w:hAnsi="宋体" w:cs="宋体"/>
        </w:rPr>
        <w:t>评委评分参照本部分附表：评分标准表。由各评标委员会成员评分，根据投标人的投标文件，进行独立评分。评委评分采用记名方式，取算术平均分（小数点后保留二位小数）。</w:t>
      </w:r>
    </w:p>
    <w:p w14:paraId="4D23F729">
      <w:pPr>
        <w:spacing w:line="360" w:lineRule="auto"/>
        <w:ind w:firstLine="420" w:firstLineChars="200"/>
        <w:rPr>
          <w:rFonts w:ascii="宋体" w:hAnsi="宋体" w:cs="宋体"/>
        </w:rPr>
      </w:pPr>
      <w:r>
        <w:rPr>
          <w:rFonts w:hint="eastAsia" w:ascii="宋体" w:hAnsi="宋体" w:cs="宋体"/>
        </w:rPr>
        <w:t>如有招标文件未规定的情况出现，则由评标委员会集体讨论决定。</w:t>
      </w:r>
    </w:p>
    <w:p w14:paraId="25335A5C">
      <w:pPr>
        <w:keepNext/>
        <w:keepLines/>
        <w:spacing w:line="360" w:lineRule="auto"/>
        <w:ind w:firstLine="422" w:firstLineChars="200"/>
        <w:rPr>
          <w:rFonts w:ascii="宋体" w:hAnsi="宋体" w:cs="宋体"/>
          <w:b/>
          <w:bCs/>
          <w:kern w:val="0"/>
          <w:szCs w:val="28"/>
        </w:rPr>
      </w:pPr>
      <w:r>
        <w:rPr>
          <w:rFonts w:hint="eastAsia" w:ascii="宋体" w:hAnsi="宋体" w:cs="宋体"/>
          <w:b/>
          <w:bCs/>
          <w:kern w:val="0"/>
          <w:szCs w:val="28"/>
        </w:rPr>
        <w:t>2. 第二阶段评审</w:t>
      </w:r>
    </w:p>
    <w:p w14:paraId="1C26BB07">
      <w:pPr>
        <w:spacing w:line="360" w:lineRule="auto"/>
        <w:ind w:firstLine="420"/>
        <w:rPr>
          <w:rFonts w:ascii="宋体" w:hAnsi="宋体" w:cs="宋体"/>
        </w:rPr>
      </w:pPr>
      <w:r>
        <w:rPr>
          <w:rFonts w:hint="eastAsia" w:ascii="宋体" w:hAnsi="宋体" w:cs="宋体"/>
          <w:b/>
          <w:bCs/>
        </w:rPr>
        <w:t>2.1价格标初步评审</w:t>
      </w:r>
    </w:p>
    <w:p w14:paraId="404C22D9">
      <w:pPr>
        <w:spacing w:line="360" w:lineRule="auto"/>
        <w:ind w:firstLine="420" w:firstLineChars="200"/>
        <w:rPr>
          <w:rFonts w:ascii="宋体" w:hAnsi="宋体" w:cs="宋体"/>
        </w:rPr>
      </w:pPr>
      <w:r>
        <w:rPr>
          <w:rFonts w:hint="eastAsia" w:ascii="宋体" w:hAnsi="宋体" w:cs="宋体"/>
        </w:rPr>
        <w:t>依据招标文件的规定，从投标文件的有效性、完整性进行审查，以确定是否对招标文件的实质性要求作出响应。</w:t>
      </w:r>
    </w:p>
    <w:p w14:paraId="2B8ADAF7">
      <w:pPr>
        <w:spacing w:line="360" w:lineRule="auto"/>
        <w:ind w:firstLine="420" w:firstLineChars="200"/>
        <w:rPr>
          <w:rFonts w:ascii="宋体" w:hAnsi="宋体" w:cs="宋体"/>
        </w:rPr>
      </w:pPr>
      <w:r>
        <w:t>评标委员会在评审过程中按规定否决不合格投标或界定为无效标后，因有效投标人不足三家的，由评标委员会认定本项目剩余有效投标是否具有竞争性，</w:t>
      </w:r>
      <w:r>
        <w:rPr>
          <w:rFonts w:hint="eastAsia"/>
        </w:rPr>
        <w:t>评标委员会认为有效投标仍然具有竞争性的，对过程和结论进行充分论证并形成书面报告后，</w:t>
      </w:r>
      <w:r>
        <w:t>对有效投标进行评审；如认为没有竞争性的，招标人将重新招标</w:t>
      </w:r>
      <w:r>
        <w:rPr>
          <w:rFonts w:hint="eastAsia" w:ascii="宋体" w:hAnsi="宋体" w:cs="宋体"/>
        </w:rPr>
        <w:t>。</w:t>
      </w:r>
    </w:p>
    <w:p w14:paraId="3E2A4D17">
      <w:pPr>
        <w:keepNext/>
        <w:keepLines/>
        <w:spacing w:line="360" w:lineRule="auto"/>
        <w:ind w:firstLine="422" w:firstLineChars="200"/>
        <w:rPr>
          <w:rFonts w:ascii="宋体" w:hAnsi="宋体" w:cs="宋体"/>
          <w:b/>
          <w:bCs/>
          <w:kern w:val="0"/>
          <w:szCs w:val="28"/>
        </w:rPr>
      </w:pPr>
      <w:r>
        <w:rPr>
          <w:rFonts w:hint="eastAsia" w:ascii="宋体" w:hAnsi="宋体" w:cs="宋体"/>
          <w:b/>
          <w:bCs/>
          <w:kern w:val="0"/>
          <w:szCs w:val="28"/>
        </w:rPr>
        <w:t>2.2价格标详细评审</w:t>
      </w:r>
    </w:p>
    <w:p w14:paraId="7457884D">
      <w:pPr>
        <w:keepNext/>
        <w:keepLines/>
        <w:spacing w:line="360" w:lineRule="auto"/>
        <w:ind w:firstLine="422" w:firstLineChars="200"/>
        <w:rPr>
          <w:rFonts w:ascii="宋体" w:hAnsi="宋体" w:cs="宋体"/>
          <w:b/>
          <w:bCs/>
          <w:kern w:val="0"/>
          <w:szCs w:val="28"/>
        </w:rPr>
      </w:pPr>
      <w:r>
        <w:rPr>
          <w:rFonts w:hint="eastAsia" w:ascii="宋体" w:hAnsi="宋体" w:cs="宋体"/>
          <w:b/>
          <w:bCs/>
          <w:kern w:val="0"/>
          <w:szCs w:val="28"/>
        </w:rPr>
        <w:t>2.2.1错误修正</w:t>
      </w:r>
    </w:p>
    <w:p w14:paraId="1CBAAF7B">
      <w:pPr>
        <w:spacing w:line="360" w:lineRule="auto"/>
        <w:ind w:firstLine="420" w:firstLineChars="200"/>
        <w:rPr>
          <w:rFonts w:ascii="宋体" w:hAnsi="宋体" w:cs="宋体"/>
        </w:rPr>
      </w:pPr>
      <w:r>
        <w:rPr>
          <w:rFonts w:hint="eastAsia" w:ascii="宋体" w:hAnsi="宋体" w:cs="宋体"/>
        </w:rPr>
        <w:t>投标文件如果出现计算或表达上的错误，修正错误的原则如下：</w:t>
      </w:r>
    </w:p>
    <w:p w14:paraId="52B29B67">
      <w:pPr>
        <w:spacing w:line="360" w:lineRule="auto"/>
        <w:ind w:firstLine="420" w:firstLineChars="200"/>
        <w:rPr>
          <w:rFonts w:ascii="宋体" w:hAnsi="宋体" w:cs="宋体"/>
        </w:rPr>
      </w:pPr>
      <w:r>
        <w:rPr>
          <w:rFonts w:hint="eastAsia" w:ascii="宋体" w:hAnsi="宋体" w:cs="宋体"/>
        </w:rPr>
        <w:t>（1）投标文件的大写金额和小写金额不一致的，以大写金额为准；</w:t>
      </w:r>
    </w:p>
    <w:p w14:paraId="37065442">
      <w:pPr>
        <w:spacing w:line="360" w:lineRule="auto"/>
        <w:ind w:firstLine="420" w:firstLineChars="200"/>
        <w:rPr>
          <w:rFonts w:ascii="宋体" w:hAnsi="宋体" w:cs="宋体"/>
        </w:rPr>
      </w:pPr>
      <w:r>
        <w:rPr>
          <w:rFonts w:hint="eastAsia" w:ascii="宋体" w:hAnsi="宋体" w:cs="宋体"/>
        </w:rPr>
        <w:t>（2）总价金额与按单价汇总金额不一致的，以单价金额计算结果为准；</w:t>
      </w:r>
    </w:p>
    <w:p w14:paraId="7CFC3A7F">
      <w:pPr>
        <w:spacing w:line="360" w:lineRule="auto"/>
        <w:ind w:firstLine="420" w:firstLineChars="200"/>
        <w:rPr>
          <w:rFonts w:ascii="宋体" w:hAnsi="宋体" w:cs="宋体"/>
        </w:rPr>
      </w:pPr>
      <w:r>
        <w:rPr>
          <w:rFonts w:hint="eastAsia" w:ascii="宋体" w:hAnsi="宋体" w:cs="宋体"/>
        </w:rPr>
        <w:t>（3）对不同文字文本投标文件的解释发生异议的，以中文文本为准；</w:t>
      </w:r>
    </w:p>
    <w:p w14:paraId="53187820">
      <w:pPr>
        <w:spacing w:line="360" w:lineRule="auto"/>
        <w:ind w:firstLine="420" w:firstLineChars="200"/>
        <w:rPr>
          <w:rFonts w:ascii="宋体" w:hAnsi="宋体" w:cs="宋体"/>
        </w:rPr>
      </w:pPr>
      <w:r>
        <w:rPr>
          <w:rFonts w:hint="eastAsia" w:ascii="宋体" w:hAnsi="宋体" w:cs="宋体"/>
        </w:rPr>
        <w:t>（4）投标文件中出现前后不一致的情况商务部分以商务标为准，技术部分以技术标为准。</w:t>
      </w:r>
    </w:p>
    <w:p w14:paraId="7EE779A0">
      <w:pPr>
        <w:spacing w:line="360" w:lineRule="auto"/>
        <w:ind w:firstLine="422" w:firstLineChars="200"/>
        <w:rPr>
          <w:rFonts w:ascii="宋体" w:hAnsi="宋体" w:cs="宋体"/>
          <w:b/>
          <w:bCs/>
        </w:rPr>
      </w:pPr>
      <w:r>
        <w:rPr>
          <w:rFonts w:hint="eastAsia" w:ascii="宋体" w:hAnsi="宋体" w:cs="宋体"/>
          <w:b/>
          <w:bCs/>
        </w:rPr>
        <w:t>按上述修正错误的原则及方法修正投标文件的投标报价，如果投标人接受修正后的报价，则经投标人同意并签字确认后，修正后的投标报价对投标人具有约束作用；如果投标人不接受修正后的报价，则其投标将作为无效投标处理。</w:t>
      </w:r>
    </w:p>
    <w:p w14:paraId="0240A21E">
      <w:pPr>
        <w:keepNext/>
        <w:keepLines/>
        <w:spacing w:line="360" w:lineRule="auto"/>
        <w:ind w:firstLine="422" w:firstLineChars="200"/>
        <w:rPr>
          <w:rFonts w:ascii="宋体" w:hAnsi="宋体" w:cs="宋体"/>
          <w:b/>
          <w:bCs/>
          <w:kern w:val="0"/>
          <w:szCs w:val="28"/>
        </w:rPr>
      </w:pPr>
      <w:r>
        <w:rPr>
          <w:rFonts w:hint="eastAsia" w:ascii="宋体" w:hAnsi="宋体" w:cs="宋体"/>
          <w:b/>
          <w:bCs/>
          <w:kern w:val="0"/>
          <w:szCs w:val="28"/>
        </w:rPr>
        <w:t>2.2.2价格调整的原则</w:t>
      </w:r>
    </w:p>
    <w:p w14:paraId="6E9CC8A0">
      <w:pPr>
        <w:spacing w:line="360" w:lineRule="auto"/>
        <w:ind w:firstLine="420" w:firstLineChars="200"/>
        <w:rPr>
          <w:rFonts w:ascii="宋体" w:hAnsi="宋体" w:cs="宋体"/>
        </w:rPr>
      </w:pPr>
      <w:r>
        <w:rPr>
          <w:rFonts w:hint="eastAsia" w:ascii="宋体" w:hAnsi="宋体" w:cs="宋体"/>
        </w:rPr>
        <w:t>（1）投标人的报价必须包含本次招标范围内所有内容。</w:t>
      </w:r>
    </w:p>
    <w:p w14:paraId="22066EC4">
      <w:pPr>
        <w:spacing w:line="360" w:lineRule="auto"/>
        <w:ind w:firstLine="420" w:firstLineChars="200"/>
        <w:rPr>
          <w:rFonts w:ascii="宋体" w:hAnsi="宋体" w:cs="宋体"/>
        </w:rPr>
      </w:pPr>
      <w:r>
        <w:rPr>
          <w:rFonts w:hint="eastAsia" w:ascii="宋体" w:hAnsi="宋体" w:cs="宋体"/>
        </w:rPr>
        <w:t>（2）投标人报价如有漏项，则须将其他投标人报价中该项价格的最高价加入该投标人的投标总价，调整后的投标总价作为评标价格。但在签订合同时，调整部分的价格不计入合同总价，投标人必须免费提供漏项项目。</w:t>
      </w:r>
    </w:p>
    <w:p w14:paraId="659F76A4">
      <w:pPr>
        <w:spacing w:line="360" w:lineRule="auto"/>
        <w:ind w:firstLine="420" w:firstLineChars="200"/>
        <w:rPr>
          <w:rFonts w:ascii="宋体" w:hAnsi="宋体" w:cs="宋体"/>
        </w:rPr>
      </w:pPr>
      <w:r>
        <w:rPr>
          <w:rFonts w:hint="eastAsia" w:ascii="宋体" w:hAnsi="宋体" w:cs="宋体"/>
        </w:rPr>
        <w:t>（3）如投标人的报价包含了招标范围之外的内容，则投标价格不予调整。但在签订合同时，超出部分设备及相应价格应予以剔除。</w:t>
      </w:r>
    </w:p>
    <w:p w14:paraId="6B04F01B">
      <w:pPr>
        <w:spacing w:line="360" w:lineRule="auto"/>
        <w:ind w:firstLine="420" w:firstLineChars="200"/>
        <w:rPr>
          <w:rFonts w:ascii="宋体" w:hAnsi="宋体" w:cs="宋体"/>
        </w:rPr>
      </w:pPr>
      <w:r>
        <w:rPr>
          <w:rFonts w:hint="eastAsia" w:ascii="宋体" w:hAnsi="宋体" w:cs="宋体"/>
        </w:rPr>
        <w:t>（4）如果投标人不接受上述调整原则，则投标文件作无效标处理。</w:t>
      </w:r>
    </w:p>
    <w:p w14:paraId="372541B3">
      <w:pPr>
        <w:spacing w:line="360" w:lineRule="auto"/>
        <w:ind w:firstLine="420" w:firstLineChars="200"/>
        <w:rPr>
          <w:rFonts w:ascii="宋体" w:hAnsi="宋体" w:cs="宋体"/>
        </w:rPr>
      </w:pPr>
      <w:r>
        <w:rPr>
          <w:rFonts w:hint="eastAsia" w:ascii="宋体" w:hAnsi="宋体" w:cs="宋体"/>
        </w:rPr>
        <w:t>（5）调整后的价格作为投标人的评标价，按照相应的价格评分方式评分。</w:t>
      </w:r>
    </w:p>
    <w:p w14:paraId="007CC6E2">
      <w:pPr>
        <w:spacing w:line="360" w:lineRule="auto"/>
        <w:ind w:firstLine="420" w:firstLineChars="200"/>
        <w:rPr>
          <w:rFonts w:ascii="宋体" w:hAnsi="宋体" w:cs="宋体"/>
        </w:rPr>
      </w:pPr>
      <w:r>
        <w:rPr>
          <w:rFonts w:hint="eastAsia" w:ascii="宋体" w:hAnsi="宋体" w:cs="宋体"/>
        </w:rPr>
        <w:t>（6）调整后的最终投标报价若超过最高投标限价（如有），评标委员会应否决其投标。</w:t>
      </w:r>
    </w:p>
    <w:p w14:paraId="0BF51C22">
      <w:pPr>
        <w:spacing w:line="360" w:lineRule="auto"/>
        <w:ind w:firstLine="422" w:firstLineChars="200"/>
        <w:rPr>
          <w:rFonts w:ascii="宋体" w:hAnsi="宋体" w:cs="宋体"/>
        </w:rPr>
      </w:pPr>
      <w:r>
        <w:rPr>
          <w:rFonts w:hint="eastAsia" w:ascii="宋体" w:hAnsi="宋体" w:cs="宋体"/>
          <w:b/>
          <w:bCs/>
        </w:rPr>
        <w:t>2.2.3价格标按“评分标准”的要求进行评议，计算价格得分，并由全体评委签字确认（计算结果保留二位小数，第三位四舍五入）。</w:t>
      </w:r>
    </w:p>
    <w:p w14:paraId="7EBD1E02">
      <w:pPr>
        <w:keepNext/>
        <w:keepLines/>
        <w:spacing w:line="360" w:lineRule="auto"/>
        <w:ind w:firstLine="422" w:firstLineChars="200"/>
        <w:rPr>
          <w:rFonts w:ascii="宋体" w:hAnsi="宋体" w:cs="宋体"/>
          <w:b/>
          <w:bCs/>
          <w:kern w:val="0"/>
          <w:szCs w:val="28"/>
        </w:rPr>
      </w:pPr>
      <w:r>
        <w:rPr>
          <w:rFonts w:hint="eastAsia" w:ascii="宋体" w:hAnsi="宋体" w:cs="宋体"/>
          <w:b/>
          <w:bCs/>
          <w:kern w:val="0"/>
          <w:szCs w:val="28"/>
        </w:rPr>
        <w:t>3. 澄清问题</w:t>
      </w:r>
    </w:p>
    <w:p w14:paraId="2547ABD5">
      <w:pPr>
        <w:spacing w:line="360" w:lineRule="auto"/>
        <w:ind w:firstLine="420" w:firstLineChars="200"/>
        <w:rPr>
          <w:rFonts w:ascii="宋体" w:hAnsi="宋体" w:cs="宋体"/>
        </w:rPr>
      </w:pPr>
      <w:r>
        <w:rPr>
          <w:rFonts w:hint="eastAsia" w:ascii="宋体" w:hAnsi="宋体" w:cs="宋体"/>
        </w:rPr>
        <w:t>评标委员会可以书面形式要求投标人对投标文件中含义不明确、对同类问题表述不一致或者有明显文字和计算错误的内容作必要的澄清、说明或者纠正。有关澄清的要求和回复均应以书面形式提交，澄清、说明或者纠正必须有法人或法人授权人签字确认，不得超出投标文件的范围或者改变投标文件的实质性内容，且视为投标文件的组成部分，并汇总纳入评标报告。</w:t>
      </w:r>
    </w:p>
    <w:p w14:paraId="6F33474B">
      <w:pPr>
        <w:keepNext/>
        <w:keepLines/>
        <w:spacing w:line="360" w:lineRule="auto"/>
        <w:ind w:firstLine="422" w:firstLineChars="200"/>
        <w:rPr>
          <w:rFonts w:ascii="宋体" w:hAnsi="宋体" w:cs="宋体"/>
          <w:b/>
          <w:bCs/>
          <w:kern w:val="0"/>
          <w:szCs w:val="28"/>
        </w:rPr>
      </w:pPr>
      <w:r>
        <w:rPr>
          <w:rFonts w:hint="eastAsia" w:ascii="宋体" w:hAnsi="宋体" w:cs="宋体"/>
          <w:b/>
          <w:bCs/>
          <w:kern w:val="0"/>
          <w:szCs w:val="28"/>
        </w:rPr>
        <w:t>4. 中标原则</w:t>
      </w:r>
    </w:p>
    <w:p w14:paraId="17A67D9F">
      <w:pPr>
        <w:spacing w:line="360" w:lineRule="auto"/>
        <w:ind w:firstLine="422" w:firstLineChars="200"/>
        <w:rPr>
          <w:rFonts w:ascii="宋体" w:hAnsi="宋体" w:cs="宋体"/>
          <w:b/>
          <w:bCs/>
        </w:rPr>
      </w:pPr>
      <w:r>
        <w:rPr>
          <w:rFonts w:hint="eastAsia" w:ascii="宋体" w:hAnsi="宋体" w:cs="宋体"/>
          <w:b/>
          <w:bCs/>
        </w:rPr>
        <w:t>评标委员会根据各投标人的综合得分高低排定顺序，推荐综合得分最高的投标人为第一中标候选人；综合得分第二的投标人为第二中标候选人。如投标人的综合得分相同，则投标价低者优先；如投标价也相同，则由招标人抽签决定。</w:t>
      </w:r>
    </w:p>
    <w:p w14:paraId="457E033B">
      <w:pPr>
        <w:keepNext/>
        <w:keepLines/>
        <w:spacing w:line="360" w:lineRule="auto"/>
        <w:ind w:firstLine="422" w:firstLineChars="200"/>
        <w:rPr>
          <w:rFonts w:ascii="宋体" w:hAnsi="宋体" w:cs="宋体"/>
          <w:b/>
          <w:bCs/>
          <w:kern w:val="0"/>
          <w:szCs w:val="28"/>
        </w:rPr>
      </w:pPr>
      <w:r>
        <w:rPr>
          <w:rFonts w:hint="eastAsia" w:ascii="宋体" w:hAnsi="宋体" w:cs="宋体"/>
          <w:b/>
          <w:bCs/>
          <w:kern w:val="0"/>
          <w:szCs w:val="28"/>
        </w:rPr>
        <w:t>5. 评标结果</w:t>
      </w:r>
    </w:p>
    <w:p w14:paraId="6F11A0DB">
      <w:pPr>
        <w:spacing w:line="360" w:lineRule="auto"/>
        <w:ind w:firstLine="420" w:firstLineChars="200"/>
        <w:rPr>
          <w:rFonts w:ascii="宋体" w:hAnsi="宋体" w:cs="宋体"/>
        </w:rPr>
      </w:pPr>
      <w:r>
        <w:rPr>
          <w:rFonts w:hint="eastAsia" w:ascii="宋体" w:hAnsi="宋体" w:cs="宋体"/>
        </w:rPr>
        <w:t>招标人将中标结果在浙江省海港集团、宁波舟山港集团电子招标采购平台上公示，根据公示和决标结果，向中标人发出中标通知书。</w:t>
      </w:r>
    </w:p>
    <w:p w14:paraId="2DE317D3">
      <w:pPr>
        <w:spacing w:line="360" w:lineRule="auto"/>
        <w:ind w:firstLine="420" w:firstLineChars="200"/>
        <w:rPr>
          <w:rFonts w:cs="宋体" w:asciiTheme="minorEastAsia" w:hAnsiTheme="minorEastAsia" w:eastAsiaTheme="minorEastAsia"/>
          <w:szCs w:val="21"/>
        </w:rPr>
      </w:pPr>
      <w:r>
        <w:rPr>
          <w:rFonts w:hint="eastAsia" w:ascii="宋体" w:hAnsi="宋体" w:cs="宋体"/>
        </w:rPr>
        <w:t>中标人如因自身原因放弃中标或因不可抗力不能履行合同或未按招标文件及投标文件承诺履行的，招标人可选择第二中标候选人为中标人或重新招标。</w:t>
      </w:r>
    </w:p>
    <w:p w14:paraId="191E58C3">
      <w:pPr>
        <w:spacing w:line="360" w:lineRule="auto"/>
        <w:outlineLvl w:val="1"/>
        <w:rPr>
          <w:rFonts w:asciiTheme="minorEastAsia" w:hAnsiTheme="minorEastAsia" w:eastAsiaTheme="minorEastAsia"/>
          <w:b/>
          <w:bCs/>
          <w:color w:val="000000"/>
          <w:szCs w:val="21"/>
        </w:rPr>
      </w:pPr>
      <w:r>
        <w:rPr>
          <w:rFonts w:hint="eastAsia" w:cs="宋体" w:asciiTheme="minorEastAsia" w:hAnsiTheme="minorEastAsia" w:eastAsiaTheme="minorEastAsia"/>
          <w:b/>
          <w:szCs w:val="21"/>
        </w:rPr>
        <w:t>四、</w:t>
      </w:r>
      <w:r>
        <w:rPr>
          <w:rFonts w:hint="eastAsia" w:asciiTheme="minorEastAsia" w:hAnsiTheme="minorEastAsia" w:eastAsiaTheme="minorEastAsia"/>
          <w:b/>
          <w:bCs/>
          <w:color w:val="000000"/>
          <w:szCs w:val="21"/>
        </w:rPr>
        <w:t>评分标准</w:t>
      </w:r>
    </w:p>
    <w:p w14:paraId="52ADEB82">
      <w:pPr>
        <w:spacing w:line="360" w:lineRule="auto"/>
        <w:ind w:firstLine="440" w:firstLineChars="200"/>
        <w:rPr>
          <w:rFonts w:ascii="宋体" w:hAnsi="宋体" w:cs="宋体"/>
          <w:sz w:val="22"/>
          <w:szCs w:val="22"/>
        </w:rPr>
      </w:pPr>
      <w:r>
        <w:rPr>
          <w:rFonts w:hint="eastAsia" w:ascii="宋体" w:hAnsi="宋体" w:cs="宋体"/>
          <w:sz w:val="22"/>
          <w:szCs w:val="22"/>
        </w:rPr>
        <w:t>本项目评审办法是综合评分法。</w:t>
      </w:r>
    </w:p>
    <w:p w14:paraId="19376C1C">
      <w:pPr>
        <w:spacing w:line="360" w:lineRule="auto"/>
        <w:ind w:firstLine="440" w:firstLineChars="200"/>
        <w:rPr>
          <w:rFonts w:ascii="宋体" w:hAnsi="宋体" w:cs="宋体"/>
          <w:sz w:val="22"/>
          <w:szCs w:val="22"/>
        </w:rPr>
      </w:pPr>
      <w:r>
        <w:rPr>
          <w:rFonts w:hint="eastAsia" w:ascii="宋体" w:hAnsi="宋体" w:cs="宋体"/>
          <w:sz w:val="22"/>
          <w:szCs w:val="22"/>
        </w:rPr>
        <w:t>满分100分，综合评分包括商务技术和价格评分。</w:t>
      </w:r>
    </w:p>
    <w:p w14:paraId="358A7F3B">
      <w:pPr>
        <w:spacing w:line="360" w:lineRule="auto"/>
        <w:ind w:firstLine="440" w:firstLineChars="200"/>
        <w:rPr>
          <w:rFonts w:ascii="宋体" w:hAnsi="宋体" w:cs="宋体"/>
          <w:sz w:val="22"/>
          <w:szCs w:val="22"/>
        </w:rPr>
      </w:pPr>
      <w:r>
        <w:rPr>
          <w:rFonts w:hint="eastAsia" w:ascii="宋体" w:hAnsi="宋体" w:cs="宋体"/>
          <w:sz w:val="22"/>
          <w:szCs w:val="22"/>
        </w:rPr>
        <w:t>商务技术部分、价格部分评分，评标因素及标准详见附表。</w:t>
      </w:r>
    </w:p>
    <w:p w14:paraId="2355E829">
      <w:pPr>
        <w:spacing w:line="440" w:lineRule="exact"/>
        <w:ind w:firstLine="442" w:firstLineChars="200"/>
        <w:rPr>
          <w:rFonts w:ascii="宋体" w:hAnsi="宋体" w:cs="宋体"/>
          <w:b/>
          <w:bCs/>
          <w:sz w:val="22"/>
          <w:szCs w:val="22"/>
        </w:rPr>
      </w:pPr>
      <w:r>
        <w:rPr>
          <w:rFonts w:hint="eastAsia" w:ascii="宋体" w:hAnsi="宋体" w:cs="宋体"/>
          <w:b/>
          <w:bCs/>
          <w:sz w:val="22"/>
          <w:szCs w:val="22"/>
        </w:rPr>
        <w:t>第一阶段评审</w:t>
      </w:r>
    </w:p>
    <w:p w14:paraId="066E4BEF">
      <w:pPr>
        <w:spacing w:line="440" w:lineRule="exact"/>
        <w:ind w:firstLine="442" w:firstLineChars="200"/>
        <w:rPr>
          <w:rFonts w:ascii="宋体" w:hAnsi="宋体" w:cs="宋体"/>
          <w:b/>
          <w:bCs/>
          <w:sz w:val="22"/>
          <w:szCs w:val="22"/>
        </w:rPr>
      </w:pPr>
      <w:r>
        <w:rPr>
          <w:rFonts w:hint="eastAsia" w:ascii="宋体" w:hAnsi="宋体" w:cs="宋体"/>
          <w:b/>
          <w:bCs/>
          <w:sz w:val="22"/>
          <w:szCs w:val="22"/>
        </w:rPr>
        <w:t>1、商务技术分30分</w:t>
      </w:r>
    </w:p>
    <w:tbl>
      <w:tblPr>
        <w:tblStyle w:val="28"/>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
        <w:gridCol w:w="2008"/>
        <w:gridCol w:w="5571"/>
      </w:tblGrid>
      <w:tr w14:paraId="66ACA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0" w:type="dxa"/>
            <w:vAlign w:val="center"/>
          </w:tcPr>
          <w:p w14:paraId="338395DA">
            <w:pPr>
              <w:wordWrap w:val="0"/>
              <w:spacing w:line="460" w:lineRule="exact"/>
              <w:jc w:val="center"/>
              <w:rPr>
                <w:rFonts w:ascii="宋体" w:hAnsi="宋体" w:cs="宋体"/>
                <w:color w:val="000000"/>
                <w:szCs w:val="21"/>
              </w:rPr>
            </w:pPr>
            <w:bookmarkStart w:id="65" w:name="_Toc221356903"/>
            <w:bookmarkStart w:id="66" w:name="_Toc221356966"/>
            <w:r>
              <w:rPr>
                <w:rFonts w:hint="eastAsia" w:ascii="宋体" w:hAnsi="宋体" w:cs="宋体"/>
                <w:color w:val="000000"/>
                <w:szCs w:val="21"/>
              </w:rPr>
              <w:t>序号</w:t>
            </w:r>
          </w:p>
        </w:tc>
        <w:tc>
          <w:tcPr>
            <w:tcW w:w="2008" w:type="dxa"/>
            <w:vAlign w:val="center"/>
          </w:tcPr>
          <w:p w14:paraId="5762E749">
            <w:pPr>
              <w:wordWrap w:val="0"/>
              <w:spacing w:line="460" w:lineRule="exact"/>
              <w:jc w:val="center"/>
              <w:rPr>
                <w:rFonts w:ascii="宋体" w:hAnsi="宋体" w:cs="宋体"/>
                <w:szCs w:val="21"/>
              </w:rPr>
            </w:pPr>
            <w:r>
              <w:rPr>
                <w:rFonts w:hint="eastAsia" w:ascii="宋体" w:hAnsi="宋体" w:cs="宋体"/>
                <w:szCs w:val="21"/>
              </w:rPr>
              <w:t>评审内容</w:t>
            </w:r>
          </w:p>
        </w:tc>
        <w:tc>
          <w:tcPr>
            <w:tcW w:w="5571" w:type="dxa"/>
            <w:vAlign w:val="center"/>
          </w:tcPr>
          <w:p w14:paraId="38C56A43">
            <w:pPr>
              <w:wordWrap w:val="0"/>
              <w:spacing w:line="460" w:lineRule="exact"/>
              <w:jc w:val="center"/>
              <w:rPr>
                <w:rFonts w:ascii="宋体" w:hAnsi="宋体" w:cs="宋体"/>
                <w:szCs w:val="21"/>
              </w:rPr>
            </w:pPr>
            <w:r>
              <w:rPr>
                <w:rFonts w:hint="eastAsia" w:ascii="宋体" w:hAnsi="宋体" w:cs="宋体"/>
                <w:szCs w:val="21"/>
              </w:rPr>
              <w:t>评审标准</w:t>
            </w:r>
          </w:p>
        </w:tc>
      </w:tr>
      <w:tr w14:paraId="1A4C8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0" w:type="dxa"/>
            <w:vAlign w:val="center"/>
          </w:tcPr>
          <w:p w14:paraId="3F1F43ED">
            <w:pPr>
              <w:wordWrap w:val="0"/>
              <w:spacing w:line="460" w:lineRule="exact"/>
              <w:jc w:val="center"/>
              <w:rPr>
                <w:rFonts w:ascii="宋体" w:hAnsi="宋体" w:cs="宋体"/>
                <w:szCs w:val="21"/>
              </w:rPr>
            </w:pPr>
            <w:r>
              <w:rPr>
                <w:rFonts w:hint="eastAsia" w:ascii="宋体" w:hAnsi="宋体" w:cs="宋体"/>
                <w:szCs w:val="21"/>
              </w:rPr>
              <w:t>1</w:t>
            </w:r>
          </w:p>
        </w:tc>
        <w:tc>
          <w:tcPr>
            <w:tcW w:w="2008" w:type="dxa"/>
            <w:vAlign w:val="center"/>
          </w:tcPr>
          <w:p w14:paraId="19710525">
            <w:pPr>
              <w:wordWrap w:val="0"/>
              <w:spacing w:line="460" w:lineRule="exact"/>
              <w:rPr>
                <w:rFonts w:ascii="宋体" w:hAnsi="宋体" w:cs="宋体"/>
                <w:szCs w:val="21"/>
              </w:rPr>
            </w:pPr>
            <w:r>
              <w:rPr>
                <w:rFonts w:hint="eastAsia" w:ascii="宋体" w:hAnsi="宋体" w:cs="宋体"/>
                <w:szCs w:val="21"/>
              </w:rPr>
              <w:t>投标人情况（4分）</w:t>
            </w:r>
          </w:p>
        </w:tc>
        <w:tc>
          <w:tcPr>
            <w:tcW w:w="5571" w:type="dxa"/>
            <w:vAlign w:val="center"/>
          </w:tcPr>
          <w:p w14:paraId="7620C617">
            <w:pPr>
              <w:wordWrap w:val="0"/>
              <w:spacing w:line="460" w:lineRule="exact"/>
              <w:rPr>
                <w:rFonts w:ascii="宋体" w:hAnsi="宋体" w:cs="宋体"/>
                <w:bCs/>
                <w:szCs w:val="21"/>
              </w:rPr>
            </w:pPr>
            <w:r>
              <w:rPr>
                <w:rFonts w:hint="eastAsia" w:ascii="宋体" w:hAnsi="宋体" w:cs="宋体"/>
                <w:szCs w:val="21"/>
              </w:rPr>
              <w:t>根据投标人企业履约能力、财务状况、信用等级、获得荣誉等综合评分，</w:t>
            </w:r>
            <w:r>
              <w:rPr>
                <w:rFonts w:hint="eastAsia" w:ascii="宋体" w:hAnsi="宋体" w:cs="宋体"/>
                <w:color w:val="000000"/>
                <w:szCs w:val="21"/>
              </w:rPr>
              <w:t>评分：</w:t>
            </w:r>
            <w:r>
              <w:rPr>
                <w:rFonts w:hint="eastAsia" w:ascii="宋体" w:hAnsi="宋体" w:cs="宋体"/>
                <w:szCs w:val="21"/>
              </w:rPr>
              <w:t>优（2.6-4]，良（1.3-2.6]，一般[0-1.3]]</w:t>
            </w:r>
          </w:p>
        </w:tc>
      </w:tr>
      <w:tr w14:paraId="5ADEB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0" w:type="dxa"/>
            <w:vAlign w:val="center"/>
          </w:tcPr>
          <w:p w14:paraId="40BCACDF">
            <w:pPr>
              <w:wordWrap w:val="0"/>
              <w:spacing w:line="460" w:lineRule="exact"/>
              <w:jc w:val="center"/>
              <w:rPr>
                <w:rFonts w:ascii="宋体" w:hAnsi="宋体" w:cs="宋体"/>
                <w:szCs w:val="21"/>
              </w:rPr>
            </w:pPr>
            <w:r>
              <w:rPr>
                <w:rFonts w:hint="eastAsia" w:ascii="宋体" w:hAnsi="宋体" w:cs="宋体"/>
                <w:szCs w:val="21"/>
              </w:rPr>
              <w:t>2</w:t>
            </w:r>
          </w:p>
        </w:tc>
        <w:tc>
          <w:tcPr>
            <w:tcW w:w="2008" w:type="dxa"/>
            <w:vAlign w:val="center"/>
          </w:tcPr>
          <w:p w14:paraId="2D217503">
            <w:pPr>
              <w:wordWrap w:val="0"/>
              <w:spacing w:line="460" w:lineRule="exact"/>
              <w:rPr>
                <w:rFonts w:ascii="宋体" w:hAnsi="宋体" w:cs="宋体"/>
                <w:szCs w:val="21"/>
              </w:rPr>
            </w:pPr>
            <w:r>
              <w:rPr>
                <w:rFonts w:hint="eastAsia" w:ascii="宋体" w:hAnsi="宋体" w:cs="宋体"/>
                <w:szCs w:val="21"/>
              </w:rPr>
              <w:t>发动机选型与技术方案（</w:t>
            </w:r>
            <w:r>
              <w:rPr>
                <w:rFonts w:ascii="宋体" w:hAnsi="宋体" w:cs="宋体"/>
                <w:szCs w:val="21"/>
              </w:rPr>
              <w:t>6分）</w:t>
            </w:r>
          </w:p>
        </w:tc>
        <w:tc>
          <w:tcPr>
            <w:tcW w:w="5571" w:type="dxa"/>
            <w:vAlign w:val="center"/>
          </w:tcPr>
          <w:p w14:paraId="6E384BE5">
            <w:pPr>
              <w:wordWrap w:val="0"/>
              <w:spacing w:line="460" w:lineRule="exact"/>
              <w:rPr>
                <w:rFonts w:ascii="宋体" w:hAnsi="宋体" w:cs="宋体"/>
                <w:szCs w:val="21"/>
              </w:rPr>
            </w:pPr>
            <w:r>
              <w:rPr>
                <w:rFonts w:hint="eastAsia" w:ascii="宋体" w:hAnsi="宋体" w:cs="宋体"/>
                <w:szCs w:val="21"/>
              </w:rPr>
              <w:t>根据投标人提供的发动机型号以及相关技术参数响应与技术方案进行综合比较：</w:t>
            </w:r>
          </w:p>
          <w:p w14:paraId="2313BE32">
            <w:pPr>
              <w:wordWrap w:val="0"/>
              <w:spacing w:line="460" w:lineRule="exact"/>
              <w:rPr>
                <w:rFonts w:ascii="宋体" w:hAnsi="宋体" w:cs="宋体"/>
                <w:szCs w:val="21"/>
              </w:rPr>
            </w:pPr>
            <w:r>
              <w:rPr>
                <w:rFonts w:hint="eastAsia" w:ascii="宋体" w:hAnsi="宋体" w:cs="宋体"/>
                <w:szCs w:val="21"/>
              </w:rPr>
              <w:t>优（4-6]分：方案内容全面、针对性强、安全措施具体可行；</w:t>
            </w:r>
          </w:p>
          <w:p w14:paraId="1737CF95">
            <w:pPr>
              <w:wordWrap w:val="0"/>
              <w:spacing w:line="460" w:lineRule="exact"/>
              <w:rPr>
                <w:rFonts w:ascii="宋体" w:hAnsi="宋体" w:cs="宋体"/>
                <w:szCs w:val="21"/>
              </w:rPr>
            </w:pPr>
            <w:r>
              <w:rPr>
                <w:rFonts w:hint="eastAsia" w:ascii="宋体" w:hAnsi="宋体" w:cs="宋体"/>
                <w:szCs w:val="21"/>
              </w:rPr>
              <w:t>良（2-4]分：方案较完整、措施基本可行；</w:t>
            </w:r>
          </w:p>
          <w:p w14:paraId="0DD373A7">
            <w:pPr>
              <w:wordWrap w:val="0"/>
              <w:spacing w:line="460" w:lineRule="exact"/>
              <w:rPr>
                <w:rFonts w:ascii="宋体" w:hAnsi="宋体" w:cs="宋体"/>
                <w:szCs w:val="21"/>
              </w:rPr>
            </w:pPr>
            <w:r>
              <w:rPr>
                <w:rFonts w:hint="eastAsia" w:ascii="宋体" w:hAnsi="宋体" w:cs="宋体"/>
                <w:szCs w:val="21"/>
              </w:rPr>
              <w:t>一般（0-2]分：方案简单、针对性一般。</w:t>
            </w:r>
          </w:p>
        </w:tc>
      </w:tr>
      <w:tr w14:paraId="0774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0" w:type="dxa"/>
            <w:vAlign w:val="center"/>
          </w:tcPr>
          <w:p w14:paraId="71CCFB64">
            <w:pPr>
              <w:wordWrap w:val="0"/>
              <w:spacing w:line="460" w:lineRule="exact"/>
              <w:ind w:left="21" w:hanging="90"/>
              <w:jc w:val="center"/>
              <w:rPr>
                <w:rFonts w:ascii="宋体" w:hAnsi="宋体" w:cs="宋体"/>
                <w:color w:val="000000"/>
                <w:szCs w:val="21"/>
              </w:rPr>
            </w:pPr>
            <w:r>
              <w:rPr>
                <w:rFonts w:hint="eastAsia" w:ascii="宋体" w:hAnsi="宋体" w:cs="宋体"/>
                <w:color w:val="000000"/>
                <w:szCs w:val="21"/>
              </w:rPr>
              <w:t>3</w:t>
            </w:r>
          </w:p>
        </w:tc>
        <w:tc>
          <w:tcPr>
            <w:tcW w:w="2008" w:type="dxa"/>
            <w:shd w:val="clear" w:color="auto" w:fill="auto"/>
            <w:vAlign w:val="center"/>
          </w:tcPr>
          <w:p w14:paraId="67311742">
            <w:pPr>
              <w:wordWrap w:val="0"/>
              <w:spacing w:line="460" w:lineRule="exact"/>
              <w:ind w:left="3" w:leftChars="-36" w:right="-73" w:rightChars="-35" w:hanging="79" w:hangingChars="38"/>
              <w:rPr>
                <w:rFonts w:ascii="宋体" w:hAnsi="宋体" w:cs="宋体"/>
                <w:bCs/>
                <w:color w:val="000000"/>
                <w:szCs w:val="21"/>
              </w:rPr>
            </w:pPr>
            <w:r>
              <w:rPr>
                <w:rFonts w:hint="eastAsia" w:ascii="宋体" w:hAnsi="宋体" w:cs="宋体"/>
                <w:szCs w:val="21"/>
              </w:rPr>
              <w:t>质保期（4分）</w:t>
            </w:r>
          </w:p>
        </w:tc>
        <w:tc>
          <w:tcPr>
            <w:tcW w:w="5571" w:type="dxa"/>
            <w:shd w:val="clear" w:color="auto" w:fill="auto"/>
            <w:vAlign w:val="center"/>
          </w:tcPr>
          <w:p w14:paraId="662D2BC2">
            <w:pPr>
              <w:wordWrap w:val="0"/>
              <w:spacing w:line="460" w:lineRule="exact"/>
              <w:rPr>
                <w:rFonts w:ascii="宋体" w:hAnsi="宋体" w:cs="宋体"/>
                <w:szCs w:val="21"/>
              </w:rPr>
            </w:pPr>
            <w:r>
              <w:rPr>
                <w:rFonts w:hint="eastAsia" w:ascii="宋体" w:hAnsi="宋体" w:cs="宋体"/>
                <w:szCs w:val="21"/>
              </w:rPr>
              <w:t>投标人在基础质保之上承诺，每额外延长3个月质保期得1分，最高得4分。</w:t>
            </w:r>
          </w:p>
          <w:p w14:paraId="3B12BEC1">
            <w:pPr>
              <w:wordWrap w:val="0"/>
              <w:spacing w:line="460" w:lineRule="exact"/>
              <w:rPr>
                <w:rFonts w:ascii="宋体" w:hAnsi="宋体" w:cs="宋体"/>
                <w:szCs w:val="21"/>
              </w:rPr>
            </w:pPr>
            <w:r>
              <w:rPr>
                <w:rFonts w:hint="eastAsia" w:ascii="宋体" w:hAnsi="宋体" w:cs="宋体"/>
                <w:szCs w:val="21"/>
              </w:rPr>
              <w:t>注：需提供承诺函并加盖单位公章，否则不得分</w:t>
            </w:r>
          </w:p>
        </w:tc>
      </w:tr>
      <w:tr w14:paraId="31F9C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0" w:type="dxa"/>
            <w:vAlign w:val="center"/>
          </w:tcPr>
          <w:p w14:paraId="7E7063AD">
            <w:pPr>
              <w:wordWrap w:val="0"/>
              <w:spacing w:line="460" w:lineRule="exact"/>
              <w:ind w:left="21" w:hanging="90"/>
              <w:jc w:val="center"/>
              <w:rPr>
                <w:rFonts w:ascii="宋体" w:hAnsi="宋体" w:cs="宋体"/>
                <w:color w:val="000000"/>
                <w:szCs w:val="21"/>
              </w:rPr>
            </w:pPr>
            <w:r>
              <w:rPr>
                <w:rFonts w:hint="eastAsia" w:ascii="宋体" w:hAnsi="宋体" w:cs="宋体"/>
                <w:color w:val="000000"/>
                <w:szCs w:val="21"/>
              </w:rPr>
              <w:t>4</w:t>
            </w:r>
          </w:p>
        </w:tc>
        <w:tc>
          <w:tcPr>
            <w:tcW w:w="2008" w:type="dxa"/>
            <w:shd w:val="clear" w:color="auto" w:fill="auto"/>
            <w:vAlign w:val="center"/>
          </w:tcPr>
          <w:p w14:paraId="2D5620E6">
            <w:pPr>
              <w:wordWrap w:val="0"/>
              <w:spacing w:line="460" w:lineRule="exact"/>
              <w:ind w:left="3" w:leftChars="-36" w:right="-73" w:rightChars="-35" w:hanging="79" w:hangingChars="38"/>
              <w:rPr>
                <w:rFonts w:ascii="宋体" w:hAnsi="宋体" w:cs="宋体"/>
                <w:szCs w:val="21"/>
              </w:rPr>
            </w:pPr>
            <w:r>
              <w:rPr>
                <w:rFonts w:hint="eastAsia" w:ascii="宋体" w:hAnsi="宋体" w:cs="宋体"/>
                <w:szCs w:val="21"/>
              </w:rPr>
              <w:t>工期计划(4分)</w:t>
            </w:r>
          </w:p>
        </w:tc>
        <w:tc>
          <w:tcPr>
            <w:tcW w:w="5571" w:type="dxa"/>
            <w:shd w:val="clear" w:color="auto" w:fill="auto"/>
            <w:vAlign w:val="center"/>
          </w:tcPr>
          <w:p w14:paraId="79D1AA9C">
            <w:pPr>
              <w:wordWrap w:val="0"/>
              <w:spacing w:line="460" w:lineRule="exact"/>
              <w:rPr>
                <w:rFonts w:ascii="宋体" w:hAnsi="宋体" w:cs="宋体"/>
                <w:szCs w:val="21"/>
              </w:rPr>
            </w:pPr>
            <w:r>
              <w:rPr>
                <w:rFonts w:hint="eastAsia" w:ascii="宋体" w:hAnsi="宋体" w:cs="宋体"/>
                <w:szCs w:val="21"/>
              </w:rPr>
              <w:t>投标人在基础施工周期</w:t>
            </w:r>
            <w:r>
              <w:rPr>
                <w:rFonts w:hint="eastAsia" w:ascii="宋体" w:hAnsi="宋体" w:cs="宋体"/>
                <w:szCs w:val="21"/>
                <w:lang w:eastAsia="zh-CN"/>
              </w:rPr>
              <w:t>90</w:t>
            </w:r>
            <w:r>
              <w:rPr>
                <w:rFonts w:hint="eastAsia" w:ascii="宋体" w:hAnsi="宋体" w:cs="宋体"/>
                <w:szCs w:val="21"/>
              </w:rPr>
              <w:t>天以内承诺，每额外缩短5天施工周期加1分，最高得4分。</w:t>
            </w:r>
          </w:p>
          <w:p w14:paraId="7806DF1B">
            <w:pPr>
              <w:wordWrap w:val="0"/>
              <w:spacing w:line="460" w:lineRule="exact"/>
              <w:rPr>
                <w:rFonts w:ascii="宋体" w:hAnsi="宋体" w:cs="宋体"/>
                <w:szCs w:val="21"/>
              </w:rPr>
            </w:pPr>
            <w:r>
              <w:rPr>
                <w:rFonts w:hint="eastAsia" w:ascii="宋体" w:hAnsi="宋体" w:cs="宋体"/>
                <w:szCs w:val="21"/>
              </w:rPr>
              <w:t>注：需提供承诺函并加盖单位公章，否则不得分</w:t>
            </w:r>
          </w:p>
        </w:tc>
      </w:tr>
      <w:tr w14:paraId="42930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0" w:type="dxa"/>
            <w:vAlign w:val="center"/>
          </w:tcPr>
          <w:p w14:paraId="18A87781">
            <w:pPr>
              <w:wordWrap w:val="0"/>
              <w:spacing w:line="460" w:lineRule="exact"/>
              <w:ind w:left="21" w:hanging="90"/>
              <w:jc w:val="center"/>
              <w:rPr>
                <w:rFonts w:ascii="宋体" w:hAnsi="宋体" w:cs="宋体"/>
                <w:color w:val="000000"/>
                <w:szCs w:val="21"/>
              </w:rPr>
            </w:pPr>
            <w:r>
              <w:rPr>
                <w:rFonts w:hint="eastAsia" w:ascii="宋体" w:hAnsi="宋体" w:cs="宋体"/>
                <w:color w:val="000000"/>
                <w:szCs w:val="21"/>
              </w:rPr>
              <w:t>5</w:t>
            </w:r>
          </w:p>
        </w:tc>
        <w:tc>
          <w:tcPr>
            <w:tcW w:w="2008" w:type="dxa"/>
            <w:shd w:val="clear" w:color="auto" w:fill="auto"/>
            <w:vAlign w:val="center"/>
          </w:tcPr>
          <w:p w14:paraId="61E3AE4E">
            <w:pPr>
              <w:wordWrap w:val="0"/>
              <w:spacing w:line="460" w:lineRule="exact"/>
              <w:ind w:left="3" w:leftChars="-36" w:right="-73" w:rightChars="-35" w:hanging="79" w:hangingChars="38"/>
              <w:rPr>
                <w:rFonts w:ascii="宋体" w:hAnsi="宋体" w:cs="宋体"/>
                <w:color w:val="000000"/>
                <w:szCs w:val="21"/>
              </w:rPr>
            </w:pPr>
            <w:r>
              <w:rPr>
                <w:rFonts w:hint="eastAsia" w:ascii="宋体" w:hAnsi="宋体" w:cs="宋体"/>
                <w:color w:val="000000"/>
                <w:szCs w:val="21"/>
              </w:rPr>
              <w:t>售后服务（6分）</w:t>
            </w:r>
          </w:p>
        </w:tc>
        <w:tc>
          <w:tcPr>
            <w:tcW w:w="5571" w:type="dxa"/>
            <w:shd w:val="clear" w:color="auto" w:fill="auto"/>
            <w:vAlign w:val="center"/>
          </w:tcPr>
          <w:p w14:paraId="5683DC6F">
            <w:pPr>
              <w:wordWrap w:val="0"/>
              <w:spacing w:line="460" w:lineRule="exact"/>
              <w:rPr>
                <w:rFonts w:ascii="宋体" w:hAnsi="宋体" w:cs="宋体"/>
                <w:szCs w:val="21"/>
              </w:rPr>
            </w:pPr>
            <w:r>
              <w:rPr>
                <w:rFonts w:hint="eastAsia" w:ascii="宋体" w:hAnsi="宋体" w:cs="宋体"/>
                <w:szCs w:val="21"/>
              </w:rPr>
              <w:t>评标委员会根据投标人提供的售后服务方案，售后服务体系，售后人员配备，响应时间等方面进行综合比较，评分：</w:t>
            </w:r>
          </w:p>
          <w:p w14:paraId="4C452AA0">
            <w:pPr>
              <w:wordWrap w:val="0"/>
              <w:spacing w:line="460" w:lineRule="exact"/>
              <w:rPr>
                <w:rFonts w:ascii="宋体" w:hAnsi="宋体" w:cs="宋体"/>
                <w:szCs w:val="21"/>
              </w:rPr>
            </w:pPr>
            <w:r>
              <w:rPr>
                <w:rFonts w:hint="eastAsia" w:ascii="宋体" w:hAnsi="宋体" w:cs="宋体"/>
                <w:szCs w:val="21"/>
              </w:rPr>
              <w:t>优（4-6]分：方案内容全面、针对性强、安全措施具体可行；</w:t>
            </w:r>
          </w:p>
          <w:p w14:paraId="1F82AA40">
            <w:pPr>
              <w:wordWrap w:val="0"/>
              <w:spacing w:line="460" w:lineRule="exact"/>
              <w:rPr>
                <w:rFonts w:ascii="宋体" w:hAnsi="宋体" w:cs="宋体"/>
                <w:szCs w:val="21"/>
              </w:rPr>
            </w:pPr>
            <w:r>
              <w:rPr>
                <w:rFonts w:hint="eastAsia" w:ascii="宋体" w:hAnsi="宋体" w:cs="宋体"/>
                <w:szCs w:val="21"/>
              </w:rPr>
              <w:t>良（2-4]分：方案较完整、措施基本可行；</w:t>
            </w:r>
          </w:p>
          <w:p w14:paraId="53E1D998">
            <w:pPr>
              <w:wordWrap w:val="0"/>
              <w:spacing w:line="460" w:lineRule="exact"/>
              <w:rPr>
                <w:rFonts w:ascii="宋体" w:hAnsi="宋体" w:cs="宋体"/>
                <w:szCs w:val="21"/>
              </w:rPr>
            </w:pPr>
            <w:r>
              <w:rPr>
                <w:rFonts w:hint="eastAsia" w:ascii="宋体" w:hAnsi="宋体" w:cs="宋体"/>
                <w:szCs w:val="21"/>
              </w:rPr>
              <w:t>一般（0-2]分：方案简单、针对性一般。</w:t>
            </w:r>
          </w:p>
        </w:tc>
      </w:tr>
      <w:tr w14:paraId="6BC5E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0" w:type="dxa"/>
            <w:vAlign w:val="center"/>
          </w:tcPr>
          <w:p w14:paraId="5C282E8D">
            <w:pPr>
              <w:wordWrap w:val="0"/>
              <w:spacing w:line="460" w:lineRule="exact"/>
              <w:ind w:left="21" w:hanging="90"/>
              <w:jc w:val="center"/>
              <w:rPr>
                <w:rFonts w:ascii="宋体" w:hAnsi="宋体" w:cs="宋体"/>
                <w:color w:val="000000"/>
                <w:szCs w:val="21"/>
              </w:rPr>
            </w:pPr>
            <w:r>
              <w:rPr>
                <w:rFonts w:hint="eastAsia" w:ascii="宋体" w:hAnsi="宋体" w:cs="宋体"/>
                <w:color w:val="000000"/>
                <w:szCs w:val="21"/>
              </w:rPr>
              <w:t>6</w:t>
            </w:r>
          </w:p>
        </w:tc>
        <w:tc>
          <w:tcPr>
            <w:tcW w:w="2008" w:type="dxa"/>
            <w:shd w:val="clear" w:color="auto" w:fill="auto"/>
            <w:vAlign w:val="center"/>
          </w:tcPr>
          <w:p w14:paraId="02EB36B3">
            <w:pPr>
              <w:wordWrap w:val="0"/>
              <w:spacing w:line="460" w:lineRule="exact"/>
              <w:ind w:left="3" w:leftChars="-36" w:right="-73" w:rightChars="-35" w:hanging="79" w:hangingChars="38"/>
              <w:rPr>
                <w:rFonts w:ascii="宋体" w:hAnsi="宋体" w:cs="宋体"/>
                <w:bCs/>
                <w:szCs w:val="21"/>
              </w:rPr>
            </w:pPr>
            <w:r>
              <w:rPr>
                <w:rFonts w:hint="eastAsia" w:ascii="宋体" w:hAnsi="宋体" w:cs="宋体"/>
                <w:color w:val="000000"/>
                <w:szCs w:val="21"/>
              </w:rPr>
              <w:t>同类项目业绩（</w:t>
            </w:r>
            <w:r>
              <w:rPr>
                <w:rFonts w:hint="eastAsia" w:ascii="宋体" w:hAnsi="宋体" w:cs="宋体"/>
                <w:color w:val="000000"/>
                <w:szCs w:val="21"/>
                <w:lang w:val="en-US" w:eastAsia="zh-CN"/>
              </w:rPr>
              <w:t>6</w:t>
            </w:r>
            <w:r>
              <w:rPr>
                <w:rFonts w:hint="eastAsia" w:ascii="宋体" w:hAnsi="宋体" w:cs="宋体"/>
                <w:color w:val="000000"/>
                <w:szCs w:val="21"/>
              </w:rPr>
              <w:t>分）</w:t>
            </w:r>
          </w:p>
        </w:tc>
        <w:tc>
          <w:tcPr>
            <w:tcW w:w="5571" w:type="dxa"/>
            <w:shd w:val="clear" w:color="auto" w:fill="auto"/>
            <w:vAlign w:val="center"/>
          </w:tcPr>
          <w:p w14:paraId="57676659">
            <w:pPr>
              <w:wordWrap w:val="0"/>
              <w:spacing w:line="460" w:lineRule="exact"/>
              <w:rPr>
                <w:rFonts w:ascii="宋体" w:hAnsi="宋体" w:cs="宋体"/>
                <w:szCs w:val="21"/>
              </w:rPr>
            </w:pPr>
            <w:r>
              <w:rPr>
                <w:rFonts w:hint="eastAsia" w:ascii="宋体" w:hAnsi="宋体" w:cs="宋体"/>
                <w:szCs w:val="21"/>
              </w:rPr>
              <w:t>投标人自2023年7月1日以来（以合同签订日期为准）具有叉车</w:t>
            </w:r>
            <w:r>
              <w:rPr>
                <w:rFonts w:hint="eastAsia" w:ascii="宋体" w:hAnsi="宋体" w:cs="宋体"/>
                <w:szCs w:val="21"/>
                <w:lang w:eastAsia="zh-CN"/>
              </w:rPr>
              <w:t>（</w:t>
            </w:r>
            <w:r>
              <w:rPr>
                <w:rFonts w:hint="eastAsia" w:ascii="宋体" w:hAnsi="宋体" w:cs="宋体"/>
                <w:szCs w:val="21"/>
              </w:rPr>
              <w:t>额定起重量大于等于18吨</w:t>
            </w:r>
            <w:r>
              <w:rPr>
                <w:rFonts w:hint="eastAsia" w:ascii="宋体" w:hAnsi="宋体" w:cs="宋体"/>
                <w:szCs w:val="21"/>
                <w:lang w:eastAsia="zh-CN"/>
              </w:rPr>
              <w:t>）</w:t>
            </w:r>
            <w:r>
              <w:rPr>
                <w:rFonts w:hint="eastAsia" w:ascii="宋体" w:hAnsi="宋体" w:cs="宋体"/>
                <w:szCs w:val="21"/>
              </w:rPr>
              <w:t>或堆高机设备发动机国四排放标准改造业绩的，每提供1个有效合同得</w:t>
            </w:r>
            <w:r>
              <w:rPr>
                <w:rFonts w:hint="eastAsia" w:ascii="宋体" w:hAnsi="宋体" w:cs="宋体"/>
                <w:szCs w:val="21"/>
                <w:highlight w:val="none"/>
                <w:lang w:eastAsia="zh-CN"/>
              </w:rPr>
              <w:t>1</w:t>
            </w:r>
            <w:r>
              <w:rPr>
                <w:rFonts w:hint="eastAsia" w:ascii="宋体" w:hAnsi="宋体" w:cs="宋体"/>
                <w:szCs w:val="21"/>
                <w:highlight w:val="none"/>
              </w:rPr>
              <w:t>分</w:t>
            </w:r>
            <w:r>
              <w:rPr>
                <w:rFonts w:hint="eastAsia" w:ascii="宋体" w:hAnsi="宋体" w:cs="宋体"/>
                <w:szCs w:val="21"/>
              </w:rPr>
              <w:t>，最高得6分。</w:t>
            </w:r>
          </w:p>
          <w:p w14:paraId="34BCD0DE">
            <w:pPr>
              <w:wordWrap w:val="0"/>
              <w:spacing w:line="460" w:lineRule="exact"/>
              <w:rPr>
                <w:rFonts w:ascii="宋体" w:hAnsi="宋体" w:cs="宋体"/>
                <w:szCs w:val="21"/>
              </w:rPr>
            </w:pPr>
            <w:r>
              <w:rPr>
                <w:rFonts w:hint="eastAsia" w:ascii="宋体" w:hAnsi="宋体" w:cs="宋体"/>
                <w:szCs w:val="21"/>
              </w:rPr>
              <w:t>注：需提供合同关键页复印件（包括合同首页、签字盖章页、合同金额、服务内容等相关合同内容）并加盖公章。否则不予计分。</w:t>
            </w:r>
          </w:p>
        </w:tc>
      </w:tr>
    </w:tbl>
    <w:p w14:paraId="2C4D513A">
      <w:pPr>
        <w:spacing w:line="460" w:lineRule="exact"/>
        <w:ind w:firstLine="440" w:firstLineChars="200"/>
        <w:rPr>
          <w:rFonts w:hAnsi="宋体" w:cs="Arial"/>
          <w:sz w:val="22"/>
          <w:szCs w:val="22"/>
        </w:rPr>
      </w:pPr>
      <w:r>
        <w:rPr>
          <w:rFonts w:hint="eastAsia" w:hAnsi="宋体" w:cs="Arial"/>
          <w:sz w:val="22"/>
          <w:szCs w:val="22"/>
        </w:rPr>
        <w:t>注：</w:t>
      </w:r>
    </w:p>
    <w:p w14:paraId="773DD6BF">
      <w:pPr>
        <w:spacing w:line="460" w:lineRule="exact"/>
        <w:ind w:firstLine="420" w:firstLineChars="200"/>
        <w:rPr>
          <w:rFonts w:hAnsi="宋体" w:cs="Arial"/>
          <w:sz w:val="22"/>
          <w:szCs w:val="22"/>
        </w:rPr>
      </w:pPr>
      <w:r>
        <w:rPr>
          <w:rFonts w:hint="eastAsia" w:asciiTheme="minorEastAsia" w:hAnsiTheme="minorEastAsia" w:eastAsiaTheme="minorEastAsia"/>
          <w:color w:val="000000"/>
          <w:szCs w:val="21"/>
        </w:rPr>
        <w:t>①</w:t>
      </w:r>
      <w:r>
        <w:rPr>
          <w:rFonts w:hint="eastAsia" w:hAnsi="宋体" w:cs="Arial"/>
          <w:sz w:val="22"/>
          <w:szCs w:val="22"/>
        </w:rPr>
        <w:t>上述评分表中“(”不含本数，“[”、“]”包含本数。</w:t>
      </w:r>
    </w:p>
    <w:p w14:paraId="4C17A581">
      <w:pPr>
        <w:spacing w:line="460" w:lineRule="exact"/>
        <w:ind w:firstLine="420" w:firstLineChars="200"/>
        <w:rPr>
          <w:rFonts w:hAnsi="宋体" w:cs="Arial"/>
          <w:sz w:val="22"/>
          <w:szCs w:val="22"/>
        </w:rPr>
      </w:pPr>
      <w:r>
        <w:rPr>
          <w:rFonts w:hint="eastAsia" w:asciiTheme="minorEastAsia" w:hAnsiTheme="minorEastAsia" w:eastAsiaTheme="minorEastAsia"/>
          <w:color w:val="000000"/>
          <w:szCs w:val="21"/>
        </w:rPr>
        <w:t>②</w:t>
      </w:r>
      <w:r>
        <w:rPr>
          <w:rFonts w:hint="eastAsia" w:hAnsi="宋体" w:cs="Arial"/>
          <w:sz w:val="22"/>
          <w:szCs w:val="22"/>
        </w:rPr>
        <w:t>投标人在投标文件目录前增加索引页，针对评标办法中的每一个评分项目，注明投标文件内相应的页码，以方便检索。</w:t>
      </w:r>
    </w:p>
    <w:p w14:paraId="19D3D696">
      <w:pPr>
        <w:spacing w:line="360" w:lineRule="auto"/>
        <w:rPr>
          <w:rFonts w:ascii="宋体" w:hAnsi="宋体" w:cs="宋体"/>
          <w:b/>
          <w:sz w:val="22"/>
          <w:szCs w:val="22"/>
        </w:rPr>
      </w:pPr>
      <w:r>
        <w:rPr>
          <w:rFonts w:hint="eastAsia" w:ascii="宋体" w:hAnsi="宋体" w:cs="宋体"/>
          <w:b/>
          <w:sz w:val="22"/>
          <w:szCs w:val="22"/>
        </w:rPr>
        <w:t>第二阶段评审</w:t>
      </w:r>
    </w:p>
    <w:p w14:paraId="28E2AF47">
      <w:pPr>
        <w:spacing w:line="360" w:lineRule="auto"/>
        <w:rPr>
          <w:rFonts w:cs="宋体" w:asciiTheme="minorEastAsia" w:hAnsiTheme="minorEastAsia" w:eastAsiaTheme="minorEastAsia"/>
          <w:b/>
          <w:szCs w:val="21"/>
        </w:rPr>
      </w:pPr>
      <w:r>
        <w:rPr>
          <w:rFonts w:cs="宋体" w:asciiTheme="minorEastAsia" w:hAnsiTheme="minorEastAsia" w:eastAsiaTheme="minorEastAsia"/>
          <w:b/>
          <w:szCs w:val="21"/>
        </w:rPr>
        <w:t>2、价格标评分</w:t>
      </w:r>
      <w:r>
        <w:rPr>
          <w:rFonts w:hint="eastAsia" w:cs="宋体" w:asciiTheme="minorEastAsia" w:hAnsiTheme="minorEastAsia" w:eastAsiaTheme="minorEastAsia"/>
          <w:b/>
          <w:szCs w:val="21"/>
        </w:rPr>
        <w:t>70分</w:t>
      </w:r>
    </w:p>
    <w:p w14:paraId="341C6813">
      <w:pPr>
        <w:overflowPunct w:val="0"/>
        <w:spacing w:line="360" w:lineRule="auto"/>
        <w:ind w:left="328" w:leftChars="156"/>
        <w:rPr>
          <w:rFonts w:ascii="宋体" w:hAnsi="宋体" w:cs="黑体"/>
          <w:sz w:val="22"/>
          <w:szCs w:val="22"/>
        </w:rPr>
      </w:pPr>
      <w:r>
        <w:rPr>
          <w:rFonts w:hint="eastAsia" w:ascii="宋体" w:hAnsi="宋体" w:cs="黑体"/>
          <w:sz w:val="22"/>
          <w:szCs w:val="22"/>
        </w:rPr>
        <w:t>（一）评标基准价计算方法：</w:t>
      </w:r>
    </w:p>
    <w:p w14:paraId="3980177F">
      <w:pPr>
        <w:spacing w:line="360" w:lineRule="auto"/>
        <w:ind w:firstLine="422" w:firstLineChars="200"/>
        <w:rPr>
          <w:rFonts w:asciiTheme="minorEastAsia" w:hAnsiTheme="minorEastAsia" w:eastAsiaTheme="minorEastAsia"/>
          <w:b/>
          <w:color w:val="000000"/>
          <w:szCs w:val="21"/>
        </w:rPr>
      </w:pPr>
      <w:r>
        <w:rPr>
          <w:rFonts w:hint="eastAsia" w:asciiTheme="minorEastAsia" w:hAnsiTheme="minorEastAsia" w:eastAsiaTheme="minorEastAsia"/>
          <w:b/>
          <w:color w:val="000000"/>
          <w:szCs w:val="21"/>
        </w:rPr>
        <w:t>满足招标文件要求且最低报价为评标基准值，其余投标人报价与该基准值对比，计算出价格评分值（保留小数2位）：</w:t>
      </w:r>
    </w:p>
    <w:p w14:paraId="1700F37A">
      <w:pPr>
        <w:overflowPunct w:val="0"/>
        <w:spacing w:line="360" w:lineRule="auto"/>
        <w:ind w:firstLine="220" w:firstLineChars="100"/>
        <w:rPr>
          <w:rFonts w:ascii="宋体" w:hAnsi="宋体"/>
          <w:sz w:val="22"/>
        </w:rPr>
      </w:pPr>
      <w:r>
        <w:rPr>
          <w:rFonts w:hint="eastAsia" w:ascii="宋体" w:hAnsi="宋体"/>
          <w:sz w:val="22"/>
        </w:rPr>
        <w:t>①有效投标人的投标报价等于评标基准值时其报价分为满分；</w:t>
      </w:r>
    </w:p>
    <w:p w14:paraId="7F9B956F">
      <w:pPr>
        <w:overflowPunct w:val="0"/>
        <w:spacing w:line="360" w:lineRule="auto"/>
        <w:ind w:firstLine="220" w:firstLineChars="100"/>
        <w:rPr>
          <w:rFonts w:ascii="宋体" w:hAnsi="宋体"/>
          <w:sz w:val="22"/>
        </w:rPr>
      </w:pPr>
      <w:r>
        <w:rPr>
          <w:rFonts w:hint="eastAsia" w:ascii="宋体" w:hAnsi="宋体"/>
          <w:sz w:val="22"/>
        </w:rPr>
        <w:t>②其他投标人的价格分按以下公式计算：</w:t>
      </w:r>
    </w:p>
    <w:p w14:paraId="14D3B9AA">
      <w:pPr>
        <w:overflowPunct w:val="0"/>
        <w:spacing w:line="360" w:lineRule="auto"/>
        <w:ind w:firstLine="220" w:firstLineChars="100"/>
        <w:rPr>
          <w:rFonts w:ascii="宋体" w:hAnsi="宋体"/>
          <w:sz w:val="22"/>
        </w:rPr>
      </w:pPr>
      <w:r>
        <w:rPr>
          <w:rFonts w:hint="eastAsia" w:ascii="宋体" w:hAnsi="宋体"/>
          <w:sz w:val="22"/>
        </w:rPr>
        <w:t>投标报价得分=（评标基准值/投标人报价）×价格权值（70%）×100（四舍五入后保留小数2位）</w:t>
      </w:r>
    </w:p>
    <w:p w14:paraId="113E3AD1">
      <w:pPr>
        <w:overflowPunct w:val="0"/>
        <w:spacing w:line="360" w:lineRule="auto"/>
        <w:ind w:firstLine="220" w:firstLineChars="100"/>
        <w:rPr>
          <w:rFonts w:ascii="宋体" w:hAnsi="宋体"/>
          <w:b/>
          <w:kern w:val="0"/>
          <w:sz w:val="22"/>
          <w:szCs w:val="22"/>
        </w:rPr>
      </w:pPr>
      <w:r>
        <w:rPr>
          <w:rFonts w:hint="eastAsia" w:ascii="宋体" w:hAnsi="宋体"/>
          <w:sz w:val="22"/>
        </w:rPr>
        <w:t>（</w:t>
      </w:r>
      <w:r>
        <w:rPr>
          <w:rFonts w:hint="eastAsia" w:ascii="宋体" w:hAnsi="宋体" w:cs="黑体"/>
          <w:sz w:val="22"/>
        </w:rPr>
        <w:t>二）</w:t>
      </w:r>
      <w:r>
        <w:rPr>
          <w:rFonts w:hint="eastAsia" w:hAnsi="宋体"/>
          <w:color w:val="000000"/>
          <w:sz w:val="24"/>
        </w:rPr>
        <w:t>★</w:t>
      </w:r>
      <w:r>
        <w:rPr>
          <w:rFonts w:hint="eastAsia" w:ascii="宋体" w:hAnsi="宋体"/>
          <w:b/>
          <w:kern w:val="0"/>
          <w:sz w:val="22"/>
          <w:szCs w:val="22"/>
        </w:rPr>
        <w:t>本项目最高限价：人民币</w:t>
      </w:r>
      <w:r>
        <w:rPr>
          <w:rFonts w:hint="eastAsia" w:ascii="宋体" w:hAnsi="宋体"/>
          <w:b/>
          <w:kern w:val="0"/>
          <w:sz w:val="22"/>
          <w:szCs w:val="22"/>
          <w:lang w:eastAsia="zh-CN"/>
        </w:rPr>
        <w:t>66.4</w:t>
      </w:r>
      <w:r>
        <w:rPr>
          <w:rFonts w:hint="eastAsia" w:ascii="宋体" w:hAnsi="宋体"/>
          <w:b/>
          <w:kern w:val="0"/>
          <w:sz w:val="22"/>
          <w:szCs w:val="22"/>
        </w:rPr>
        <w:t>万元（含税）。</w:t>
      </w:r>
    </w:p>
    <w:p w14:paraId="58CE3000">
      <w:pPr>
        <w:overflowPunct w:val="0"/>
        <w:spacing w:line="360" w:lineRule="auto"/>
        <w:ind w:firstLine="220" w:firstLineChars="100"/>
        <w:rPr>
          <w:rFonts w:ascii="宋体" w:hAnsi="宋体" w:cs="黑体"/>
          <w:b/>
          <w:sz w:val="22"/>
          <w:szCs w:val="22"/>
        </w:rPr>
      </w:pPr>
      <w:r>
        <w:rPr>
          <w:rFonts w:hint="eastAsia" w:ascii="宋体" w:hAnsi="宋体"/>
          <w:sz w:val="22"/>
        </w:rPr>
        <w:t>（</w:t>
      </w:r>
      <w:r>
        <w:rPr>
          <w:rFonts w:hint="eastAsia" w:ascii="宋体" w:hAnsi="宋体" w:cs="黑体"/>
          <w:sz w:val="22"/>
        </w:rPr>
        <w:t>三）</w:t>
      </w:r>
      <w:r>
        <w:rPr>
          <w:rFonts w:hint="eastAsia" w:hAnsi="宋体"/>
          <w:color w:val="000000"/>
          <w:sz w:val="24"/>
        </w:rPr>
        <w:t>★</w:t>
      </w:r>
      <w:r>
        <w:rPr>
          <w:rFonts w:hint="eastAsia" w:ascii="宋体" w:hAnsi="宋体" w:cs="Arial"/>
          <w:b/>
          <w:bCs/>
          <w:sz w:val="22"/>
          <w:szCs w:val="22"/>
        </w:rPr>
        <w:t>投标人报价超最高限价，其投标文件作废标处理。</w:t>
      </w:r>
    </w:p>
    <w:p w14:paraId="268E1D8B">
      <w:pPr>
        <w:spacing w:line="360" w:lineRule="auto"/>
        <w:ind w:left="109" w:leftChars="52" w:firstLine="110" w:firstLineChars="50"/>
        <w:rPr>
          <w:rFonts w:ascii="宋体" w:hAnsi="宋体" w:cs="Arial"/>
          <w:color w:val="000000"/>
          <w:sz w:val="22"/>
        </w:rPr>
      </w:pPr>
      <w:r>
        <w:rPr>
          <w:rFonts w:hint="eastAsia" w:ascii="宋体" w:hAnsi="宋体"/>
          <w:sz w:val="22"/>
        </w:rPr>
        <w:t>（四</w:t>
      </w:r>
      <w:r>
        <w:rPr>
          <w:rFonts w:hint="eastAsia" w:ascii="宋体" w:hAnsi="宋体" w:cs="黑体"/>
          <w:sz w:val="22"/>
        </w:rPr>
        <w:t>）</w:t>
      </w:r>
      <w:r>
        <w:rPr>
          <w:rFonts w:hint="eastAsia" w:ascii="宋体" w:hAnsi="宋体" w:cs="Arial"/>
          <w:color w:val="000000"/>
          <w:sz w:val="22"/>
        </w:rPr>
        <w:t>所有投标人商务报价均超采购预算，重新组织招标。</w:t>
      </w:r>
    </w:p>
    <w:bookmarkEnd w:id="65"/>
    <w:bookmarkEnd w:id="66"/>
    <w:p w14:paraId="126C7B97">
      <w:pPr>
        <w:widowControl/>
        <w:jc w:val="left"/>
        <w:rPr>
          <w:rFonts w:asciiTheme="majorHAnsi" w:hAnsiTheme="majorHAnsi" w:cstheme="majorBidi"/>
          <w:b/>
          <w:bCs/>
          <w:kern w:val="28"/>
          <w:sz w:val="32"/>
          <w:szCs w:val="32"/>
        </w:rPr>
      </w:pPr>
      <w:bookmarkStart w:id="67" w:name="_Toc50128408"/>
      <w:r>
        <w:br w:type="page"/>
      </w:r>
    </w:p>
    <w:p w14:paraId="5C41AA61">
      <w:pPr>
        <w:pStyle w:val="21"/>
        <w:outlineLvl w:val="0"/>
      </w:pPr>
      <w:bookmarkStart w:id="68" w:name="_Toc11430"/>
      <w:r>
        <w:rPr>
          <w:rFonts w:hint="eastAsia"/>
        </w:rPr>
        <w:t>第五章合同主要条款</w:t>
      </w:r>
      <w:bookmarkEnd w:id="67"/>
      <w:bookmarkEnd w:id="68"/>
    </w:p>
    <w:p w14:paraId="122D4A9F">
      <w:pPr>
        <w:spacing w:line="360" w:lineRule="exact"/>
        <w:jc w:val="right"/>
        <w:rPr>
          <w:rFonts w:ascii="仿宋" w:hAnsi="仿宋" w:eastAsia="仿宋"/>
          <w:b/>
          <w:sz w:val="24"/>
        </w:rPr>
      </w:pPr>
      <w:bookmarkStart w:id="69" w:name="_Toc50128409"/>
      <w:bookmarkStart w:id="70" w:name="_Toc50128410"/>
      <w:r>
        <w:rPr>
          <w:rFonts w:hint="eastAsia" w:ascii="仿宋" w:hAnsi="仿宋" w:eastAsia="仿宋"/>
          <w:b/>
          <w:sz w:val="24"/>
        </w:rPr>
        <w:t>合同号：</w:t>
      </w:r>
    </w:p>
    <w:p w14:paraId="1C9F0DD6">
      <w:pPr>
        <w:snapToGrid w:val="0"/>
        <w:jc w:val="center"/>
        <w:rPr>
          <w:rFonts w:ascii="宋体" w:hAnsi="宋体"/>
          <w:b/>
          <w:sz w:val="44"/>
          <w:szCs w:val="44"/>
        </w:rPr>
      </w:pPr>
      <w:r>
        <w:rPr>
          <w:rFonts w:hint="eastAsia" w:ascii="宋体" w:hAnsi="宋体"/>
          <w:b/>
          <w:sz w:val="44"/>
          <w:szCs w:val="44"/>
        </w:rPr>
        <w:t>维修合同</w:t>
      </w:r>
    </w:p>
    <w:p w14:paraId="69983838">
      <w:pPr>
        <w:snapToGrid w:val="0"/>
        <w:jc w:val="center"/>
        <w:rPr>
          <w:rFonts w:ascii="宋体" w:hAnsi="宋体"/>
          <w:b/>
          <w:sz w:val="24"/>
        </w:rPr>
      </w:pPr>
      <w:r>
        <w:rPr>
          <w:rFonts w:hint="eastAsia" w:ascii="宋体" w:hAnsi="宋体"/>
          <w:b/>
          <w:sz w:val="24"/>
        </w:rPr>
        <w:t xml:space="preserve"> </w:t>
      </w:r>
    </w:p>
    <w:p w14:paraId="17E62023">
      <w:pPr>
        <w:wordWrap w:val="0"/>
        <w:snapToGrid w:val="0"/>
        <w:jc w:val="right"/>
        <w:rPr>
          <w:rFonts w:ascii="宋体" w:hAnsi="宋体"/>
          <w:sz w:val="28"/>
          <w:szCs w:val="28"/>
        </w:rPr>
      </w:pPr>
      <w:r>
        <w:rPr>
          <w:rFonts w:hint="eastAsia" w:ascii="宋体" w:hAnsi="宋体"/>
          <w:sz w:val="28"/>
          <w:szCs w:val="28"/>
        </w:rPr>
        <w:t xml:space="preserve"> </w:t>
      </w:r>
    </w:p>
    <w:p w14:paraId="39F2EBE9">
      <w:pPr>
        <w:adjustRightInd w:val="0"/>
        <w:snapToGrid w:val="0"/>
        <w:spacing w:line="360" w:lineRule="auto"/>
        <w:rPr>
          <w:rFonts w:ascii="宋体" w:hAnsi="宋体"/>
          <w:szCs w:val="21"/>
        </w:rPr>
      </w:pPr>
      <w:r>
        <w:rPr>
          <w:rFonts w:hint="eastAsia" w:ascii="宋体" w:hAnsi="宋体"/>
          <w:szCs w:val="21"/>
        </w:rPr>
        <w:t>甲方（发包方）：</w:t>
      </w:r>
    </w:p>
    <w:p w14:paraId="58D86167">
      <w:pPr>
        <w:adjustRightInd w:val="0"/>
        <w:snapToGrid w:val="0"/>
        <w:spacing w:line="360" w:lineRule="auto"/>
        <w:rPr>
          <w:rFonts w:ascii="宋体" w:hAnsi="宋体"/>
          <w:szCs w:val="21"/>
        </w:rPr>
      </w:pPr>
      <w:r>
        <w:rPr>
          <w:rFonts w:hint="eastAsia" w:ascii="宋体" w:hAnsi="宋体"/>
          <w:szCs w:val="21"/>
        </w:rPr>
        <w:t>住所地：</w:t>
      </w:r>
    </w:p>
    <w:p w14:paraId="1372FDC1">
      <w:pPr>
        <w:adjustRightInd w:val="0"/>
        <w:snapToGrid w:val="0"/>
        <w:spacing w:line="360" w:lineRule="auto"/>
        <w:rPr>
          <w:rFonts w:ascii="宋体" w:hAnsi="宋体"/>
          <w:szCs w:val="21"/>
        </w:rPr>
      </w:pPr>
      <w:r>
        <w:rPr>
          <w:rFonts w:hint="eastAsia" w:ascii="宋体" w:hAnsi="宋体"/>
          <w:szCs w:val="21"/>
        </w:rPr>
        <w:t xml:space="preserve">联系人：          电话： </w:t>
      </w:r>
    </w:p>
    <w:p w14:paraId="7DF6E7F6">
      <w:pPr>
        <w:adjustRightInd w:val="0"/>
        <w:snapToGrid w:val="0"/>
        <w:spacing w:line="360" w:lineRule="auto"/>
        <w:rPr>
          <w:rFonts w:ascii="宋体" w:hAnsi="宋体"/>
          <w:szCs w:val="21"/>
        </w:rPr>
      </w:pPr>
      <w:r>
        <w:rPr>
          <w:rFonts w:hint="eastAsia" w:ascii="宋体" w:hAnsi="宋体"/>
          <w:szCs w:val="21"/>
        </w:rPr>
        <w:t>乙方（承包方）：</w:t>
      </w:r>
    </w:p>
    <w:p w14:paraId="3400E464">
      <w:pPr>
        <w:adjustRightInd w:val="0"/>
        <w:snapToGrid w:val="0"/>
        <w:spacing w:line="360" w:lineRule="auto"/>
        <w:rPr>
          <w:rFonts w:ascii="宋体" w:hAnsi="宋体"/>
          <w:szCs w:val="21"/>
        </w:rPr>
      </w:pPr>
      <w:r>
        <w:rPr>
          <w:rFonts w:hint="eastAsia" w:ascii="宋体" w:hAnsi="宋体"/>
          <w:szCs w:val="21"/>
        </w:rPr>
        <w:t>住所地：</w:t>
      </w:r>
    </w:p>
    <w:p w14:paraId="15577A32">
      <w:pPr>
        <w:wordWrap w:val="0"/>
        <w:snapToGrid w:val="0"/>
        <w:ind w:right="1960"/>
        <w:rPr>
          <w:rFonts w:ascii="宋体" w:hAnsi="宋体"/>
          <w:bCs/>
          <w:szCs w:val="21"/>
        </w:rPr>
      </w:pPr>
      <w:r>
        <w:rPr>
          <w:rFonts w:hint="eastAsia" w:ascii="宋体" w:hAnsi="宋体"/>
          <w:szCs w:val="21"/>
        </w:rPr>
        <w:t xml:space="preserve">联系人：          电话： </w:t>
      </w:r>
    </w:p>
    <w:p w14:paraId="3F1CE081">
      <w:pPr>
        <w:spacing w:line="360" w:lineRule="auto"/>
        <w:ind w:firstLine="420" w:firstLineChars="200"/>
        <w:rPr>
          <w:rFonts w:ascii="宋体" w:hAnsi="宋体"/>
          <w:szCs w:val="21"/>
        </w:rPr>
      </w:pPr>
      <w:r>
        <w:rPr>
          <w:rFonts w:hint="eastAsia" w:ascii="宋体" w:hAnsi="宋体"/>
          <w:szCs w:val="21"/>
        </w:rPr>
        <w:t xml:space="preserve"> </w:t>
      </w:r>
    </w:p>
    <w:p w14:paraId="28B53656">
      <w:pPr>
        <w:spacing w:line="360" w:lineRule="auto"/>
        <w:ind w:firstLine="420" w:firstLineChars="200"/>
        <w:rPr>
          <w:rFonts w:ascii="宋体" w:hAnsi="宋体"/>
          <w:szCs w:val="21"/>
        </w:rPr>
      </w:pPr>
      <w:r>
        <w:rPr>
          <w:rFonts w:hint="eastAsia" w:ascii="宋体" w:hAnsi="宋体"/>
          <w:szCs w:val="21"/>
        </w:rPr>
        <w:t>经甲乙双方协商，甲方将</w:t>
      </w:r>
      <w:r>
        <w:rPr>
          <w:rFonts w:hint="eastAsia" w:ascii="宋体" w:hAnsi="宋体" w:cs="仿宋_GB2312"/>
          <w:szCs w:val="21"/>
          <w:u w:val="single"/>
        </w:rPr>
        <w:t>25吨叉车维修</w:t>
      </w:r>
      <w:r>
        <w:rPr>
          <w:rFonts w:hint="eastAsia" w:ascii="宋体" w:hAnsi="宋体"/>
          <w:szCs w:val="21"/>
        </w:rPr>
        <w:t>业务发包给乙方，为了明确双方的权利义务关系，特订立本合同：</w:t>
      </w:r>
    </w:p>
    <w:p w14:paraId="329F9F57">
      <w:pPr>
        <w:spacing w:line="360" w:lineRule="auto"/>
        <w:ind w:firstLine="422" w:firstLineChars="200"/>
        <w:rPr>
          <w:rFonts w:ascii="宋体" w:hAnsi="宋体"/>
          <w:b/>
          <w:szCs w:val="21"/>
        </w:rPr>
      </w:pPr>
      <w:r>
        <w:rPr>
          <w:rFonts w:hint="eastAsia" w:ascii="宋体" w:hAnsi="宋体"/>
          <w:b/>
          <w:szCs w:val="21"/>
        </w:rPr>
        <w:t>一、维修项目、费用：</w:t>
      </w:r>
    </w:p>
    <w:tbl>
      <w:tblPr>
        <w:tblStyle w:val="28"/>
        <w:tblW w:w="66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4917"/>
      </w:tblGrid>
      <w:tr w14:paraId="53D83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 w:hRule="atLeast"/>
          <w:jc w:val="center"/>
        </w:trPr>
        <w:tc>
          <w:tcPr>
            <w:tcW w:w="1701" w:type="dxa"/>
            <w:vAlign w:val="center"/>
          </w:tcPr>
          <w:p w14:paraId="4F5E4688">
            <w:pPr>
              <w:spacing w:line="360" w:lineRule="auto"/>
              <w:jc w:val="center"/>
            </w:pPr>
            <w:r>
              <w:rPr>
                <w:rFonts w:hint="eastAsia"/>
              </w:rPr>
              <w:t>序号</w:t>
            </w:r>
          </w:p>
        </w:tc>
        <w:tc>
          <w:tcPr>
            <w:tcW w:w="4917" w:type="dxa"/>
            <w:vAlign w:val="center"/>
          </w:tcPr>
          <w:p w14:paraId="661311C7">
            <w:pPr>
              <w:spacing w:line="360" w:lineRule="auto"/>
              <w:jc w:val="center"/>
            </w:pPr>
            <w:r>
              <w:rPr>
                <w:rFonts w:hint="eastAsia"/>
              </w:rPr>
              <w:t>维修项目</w:t>
            </w:r>
          </w:p>
        </w:tc>
      </w:tr>
      <w:tr w14:paraId="5BC9D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701" w:type="dxa"/>
            <w:vAlign w:val="center"/>
          </w:tcPr>
          <w:p w14:paraId="09284590">
            <w:pPr>
              <w:spacing w:line="360" w:lineRule="auto"/>
              <w:jc w:val="center"/>
            </w:pPr>
            <w:r>
              <w:rPr>
                <w:rFonts w:hint="eastAsia"/>
              </w:rPr>
              <w:t>1</w:t>
            </w:r>
          </w:p>
        </w:tc>
        <w:tc>
          <w:tcPr>
            <w:tcW w:w="4917" w:type="dxa"/>
            <w:vAlign w:val="center"/>
          </w:tcPr>
          <w:p w14:paraId="506C3942">
            <w:pPr>
              <w:spacing w:line="360" w:lineRule="auto"/>
              <w:jc w:val="center"/>
              <w:rPr>
                <w:rFonts w:hint="eastAsia" w:eastAsia="宋体"/>
                <w:lang w:eastAsia="zh-CN"/>
              </w:rPr>
            </w:pPr>
            <w:r>
              <w:rPr>
                <w:rFonts w:hint="eastAsia"/>
              </w:rPr>
              <w:t>1#25吨叉车</w:t>
            </w:r>
            <w:r>
              <w:rPr>
                <w:rFonts w:hint="eastAsia"/>
                <w:lang w:eastAsia="zh-CN"/>
              </w:rPr>
              <w:t>发动机升级改造</w:t>
            </w:r>
          </w:p>
        </w:tc>
      </w:tr>
      <w:tr w14:paraId="67462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701" w:type="dxa"/>
            <w:vAlign w:val="center"/>
          </w:tcPr>
          <w:p w14:paraId="4D8A058C">
            <w:pPr>
              <w:spacing w:line="360" w:lineRule="auto"/>
              <w:jc w:val="center"/>
            </w:pPr>
            <w:r>
              <w:rPr>
                <w:rFonts w:hint="eastAsia"/>
              </w:rPr>
              <w:t>2</w:t>
            </w:r>
          </w:p>
        </w:tc>
        <w:tc>
          <w:tcPr>
            <w:tcW w:w="4917" w:type="dxa"/>
            <w:vAlign w:val="center"/>
          </w:tcPr>
          <w:p w14:paraId="35A46425">
            <w:pPr>
              <w:spacing w:line="360" w:lineRule="auto"/>
              <w:jc w:val="center"/>
            </w:pPr>
            <w:r>
              <w:rPr>
                <w:rFonts w:hint="eastAsia"/>
              </w:rPr>
              <w:t>1#25吨叉车内外门架总成更换</w:t>
            </w:r>
          </w:p>
        </w:tc>
      </w:tr>
      <w:tr w14:paraId="25A6B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701" w:type="dxa"/>
            <w:vAlign w:val="center"/>
          </w:tcPr>
          <w:p w14:paraId="25CDEAF0">
            <w:pPr>
              <w:spacing w:line="360" w:lineRule="auto"/>
              <w:jc w:val="center"/>
            </w:pPr>
            <w:r>
              <w:rPr>
                <w:rFonts w:hint="eastAsia"/>
              </w:rPr>
              <w:t>3</w:t>
            </w:r>
          </w:p>
        </w:tc>
        <w:tc>
          <w:tcPr>
            <w:tcW w:w="4917" w:type="dxa"/>
            <w:shd w:val="clear" w:color="auto" w:fill="auto"/>
            <w:vAlign w:val="center"/>
          </w:tcPr>
          <w:p w14:paraId="1901DC21">
            <w:pPr>
              <w:spacing w:line="360" w:lineRule="auto"/>
              <w:jc w:val="center"/>
            </w:pPr>
            <w:r>
              <w:rPr>
                <w:rFonts w:hint="eastAsia"/>
              </w:rPr>
              <w:t>1#25吨叉车液压系统一批零配件更换</w:t>
            </w:r>
          </w:p>
        </w:tc>
      </w:tr>
      <w:tr w14:paraId="1BFB6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701" w:type="dxa"/>
            <w:vAlign w:val="center"/>
          </w:tcPr>
          <w:p w14:paraId="671AFDDD">
            <w:pPr>
              <w:spacing w:line="360" w:lineRule="auto"/>
              <w:jc w:val="center"/>
            </w:pPr>
            <w:r>
              <w:rPr>
                <w:rFonts w:hint="eastAsia"/>
              </w:rPr>
              <w:t>4</w:t>
            </w:r>
          </w:p>
        </w:tc>
        <w:tc>
          <w:tcPr>
            <w:tcW w:w="4917" w:type="dxa"/>
            <w:shd w:val="clear" w:color="auto" w:fill="auto"/>
            <w:vAlign w:val="center"/>
          </w:tcPr>
          <w:p w14:paraId="426B8FE8">
            <w:pPr>
              <w:spacing w:line="360" w:lineRule="auto"/>
              <w:jc w:val="center"/>
            </w:pPr>
            <w:r>
              <w:rPr>
                <w:rFonts w:hint="eastAsia"/>
              </w:rPr>
              <w:t>1#25吨叉车全车钣金油漆</w:t>
            </w:r>
          </w:p>
        </w:tc>
      </w:tr>
      <w:tr w14:paraId="6F584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6618" w:type="dxa"/>
            <w:gridSpan w:val="2"/>
            <w:vAlign w:val="center"/>
          </w:tcPr>
          <w:p w14:paraId="5742E327">
            <w:pPr>
              <w:wordWrap w:val="0"/>
              <w:spacing w:line="360" w:lineRule="auto"/>
              <w:jc w:val="right"/>
            </w:pPr>
            <w:r>
              <w:rPr>
                <w:rFonts w:hint="eastAsia"/>
              </w:rPr>
              <w:t>总价：      （元）</w:t>
            </w:r>
          </w:p>
        </w:tc>
      </w:tr>
    </w:tbl>
    <w:p w14:paraId="2410BB66">
      <w:pPr>
        <w:spacing w:line="360" w:lineRule="auto"/>
        <w:ind w:firstLine="420" w:firstLineChars="200"/>
        <w:rPr>
          <w:rFonts w:ascii="宋体" w:hAnsi="宋体"/>
          <w:szCs w:val="21"/>
        </w:rPr>
      </w:pPr>
      <w:r>
        <w:rPr>
          <w:rFonts w:hint="eastAsia" w:ascii="宋体" w:hAnsi="宋体"/>
          <w:szCs w:val="21"/>
        </w:rPr>
        <w:t>本项目为交钥匙工程，合同价是包含完成本项目所需的供货、包装、设备来回运输、仓储、装卸、</w:t>
      </w:r>
      <w:r>
        <w:rPr>
          <w:rFonts w:hint="eastAsia" w:ascii="宋体" w:hAnsi="宋体"/>
          <w:szCs w:val="21"/>
          <w:lang w:eastAsia="zh-CN"/>
        </w:rPr>
        <w:t>拆除、安装、调试、浙江省特种设备科学研究院检测费用、</w:t>
      </w:r>
      <w:r>
        <w:rPr>
          <w:rFonts w:hint="eastAsia" w:ascii="宋体" w:hAnsi="宋体"/>
          <w:szCs w:val="21"/>
        </w:rPr>
        <w:t>验收、售后服务、人工、保险、交通费、13%增值税税金、及涉及的辅材等全部工作的总费用。实行固定费用总价包干。该维修费用已涵盖履行过程中一切风险（包括但不限于材料、人工价格上涨，发生安全事故造成的损害赔偿）。</w:t>
      </w:r>
    </w:p>
    <w:p w14:paraId="748B9D88">
      <w:pPr>
        <w:spacing w:line="360" w:lineRule="auto"/>
        <w:ind w:firstLine="422" w:firstLineChars="200"/>
        <w:rPr>
          <w:rFonts w:ascii="宋体" w:hAnsi="宋体"/>
          <w:b/>
          <w:bCs/>
          <w:szCs w:val="21"/>
        </w:rPr>
      </w:pPr>
      <w:r>
        <w:rPr>
          <w:rFonts w:hint="eastAsia" w:ascii="宋体" w:hAnsi="宋体"/>
          <w:b/>
          <w:bCs/>
          <w:szCs w:val="21"/>
        </w:rPr>
        <w:t>二、维修工期：</w:t>
      </w:r>
      <w:r>
        <w:rPr>
          <w:rFonts w:hint="eastAsia" w:ascii="宋体" w:hAnsi="宋体"/>
          <w:szCs w:val="21"/>
        </w:rPr>
        <w:t>合同签订后，接甲方通知之日起</w:t>
      </w:r>
      <w:r>
        <w:rPr>
          <w:rFonts w:hint="eastAsia" w:ascii="宋体" w:hAnsi="宋体"/>
          <w:szCs w:val="21"/>
          <w:u w:val="single"/>
        </w:rPr>
        <w:t xml:space="preserve">   </w:t>
      </w:r>
      <w:r>
        <w:rPr>
          <w:rFonts w:hint="eastAsia" w:ascii="宋体" w:hAnsi="宋体"/>
          <w:szCs w:val="21"/>
        </w:rPr>
        <w:t>个日历天内完成合同范围内设备更换、维修并送回甲方指定地点且通过验收。</w:t>
      </w:r>
    </w:p>
    <w:p w14:paraId="6775D910">
      <w:pPr>
        <w:spacing w:line="360" w:lineRule="auto"/>
        <w:ind w:firstLine="422" w:firstLineChars="200"/>
        <w:rPr>
          <w:rFonts w:ascii="宋体" w:hAnsi="宋体"/>
          <w:b/>
          <w:bCs/>
          <w:szCs w:val="21"/>
        </w:rPr>
      </w:pPr>
      <w:r>
        <w:rPr>
          <w:rFonts w:hint="eastAsia" w:ascii="宋体" w:hAnsi="宋体"/>
          <w:b/>
          <w:bCs/>
          <w:szCs w:val="21"/>
        </w:rPr>
        <w:t>三、维修规范及要求</w:t>
      </w:r>
    </w:p>
    <w:p w14:paraId="0147A73B">
      <w:pPr>
        <w:spacing w:line="360" w:lineRule="auto"/>
        <w:ind w:firstLine="420" w:firstLineChars="200"/>
        <w:rPr>
          <w:rFonts w:ascii="宋体" w:hAnsi="宋体"/>
          <w:szCs w:val="21"/>
        </w:rPr>
      </w:pPr>
      <w:r>
        <w:rPr>
          <w:rFonts w:hint="eastAsia" w:ascii="宋体" w:hAnsi="宋体"/>
          <w:szCs w:val="21"/>
        </w:rPr>
        <w:t>1.乙方所采取的维修技术、工艺标准应符合国家相关规范、标准和安全要求。</w:t>
      </w:r>
    </w:p>
    <w:p w14:paraId="4CD8C920">
      <w:pPr>
        <w:spacing w:line="360" w:lineRule="auto"/>
        <w:ind w:firstLine="420" w:firstLineChars="200"/>
        <w:rPr>
          <w:rFonts w:ascii="宋体" w:hAnsi="宋体"/>
          <w:szCs w:val="21"/>
        </w:rPr>
      </w:pPr>
      <w:r>
        <w:rPr>
          <w:rFonts w:ascii="宋体" w:hAnsi="宋体"/>
          <w:szCs w:val="21"/>
        </w:rPr>
        <w:t>2</w:t>
      </w:r>
      <w:r>
        <w:rPr>
          <w:rFonts w:hint="eastAsia" w:ascii="宋体" w:hAnsi="宋体"/>
          <w:szCs w:val="21"/>
        </w:rPr>
        <w:t>.完成维修所用的专用工具及相关费用由乙方负责。</w:t>
      </w:r>
    </w:p>
    <w:p w14:paraId="47992C83">
      <w:pPr>
        <w:spacing w:line="360" w:lineRule="auto"/>
        <w:ind w:firstLine="420" w:firstLineChars="200"/>
        <w:rPr>
          <w:rFonts w:ascii="宋体" w:hAnsi="宋体"/>
          <w:szCs w:val="21"/>
        </w:rPr>
      </w:pPr>
      <w:r>
        <w:rPr>
          <w:rFonts w:ascii="宋体" w:hAnsi="宋体"/>
          <w:szCs w:val="21"/>
        </w:rPr>
        <w:t>3</w:t>
      </w:r>
      <w:r>
        <w:rPr>
          <w:rFonts w:hint="eastAsia" w:ascii="宋体" w:hAnsi="宋体"/>
          <w:szCs w:val="21"/>
        </w:rPr>
        <w:t>.必须由乙方自己的技术人员完成维修工作并直接经营维修，</w:t>
      </w:r>
      <w:r>
        <w:rPr>
          <w:rFonts w:hint="eastAsia" w:ascii="宋体" w:hAnsi="宋体"/>
          <w:b/>
          <w:szCs w:val="21"/>
        </w:rPr>
        <w:t>未经甲方书面同意，乙方不得将全部或部分维修工作分包或转包给任何第三方，否则甲方有权单方解除合同并要求乙方支付</w:t>
      </w:r>
      <w:r>
        <w:rPr>
          <w:rFonts w:hint="eastAsia" w:ascii="宋体" w:hAnsi="宋体" w:cs="仿宋_GB2312"/>
          <w:b/>
          <w:bCs/>
          <w:szCs w:val="21"/>
        </w:rPr>
        <w:t>合同价款</w:t>
      </w:r>
      <w:r>
        <w:rPr>
          <w:rFonts w:hint="eastAsia" w:ascii="宋体" w:hAnsi="宋体" w:cs="仿宋_GB2312"/>
          <w:b/>
          <w:szCs w:val="21"/>
          <w:u w:val="single"/>
        </w:rPr>
        <w:t>5%的</w:t>
      </w:r>
      <w:r>
        <w:rPr>
          <w:rFonts w:hint="eastAsia" w:ascii="宋体" w:hAnsi="宋体"/>
          <w:b/>
          <w:szCs w:val="21"/>
        </w:rPr>
        <w:t>违约金</w:t>
      </w:r>
      <w:r>
        <w:rPr>
          <w:rFonts w:hint="eastAsia" w:ascii="宋体" w:hAnsi="宋体"/>
          <w:szCs w:val="21"/>
        </w:rPr>
        <w:t>。</w:t>
      </w:r>
    </w:p>
    <w:p w14:paraId="2645D3AF">
      <w:pPr>
        <w:spacing w:line="360" w:lineRule="auto"/>
        <w:ind w:firstLine="420" w:firstLineChars="200"/>
        <w:rPr>
          <w:rFonts w:ascii="宋体" w:hAnsi="宋体"/>
          <w:szCs w:val="21"/>
          <w:u w:val="single"/>
        </w:rPr>
      </w:pPr>
      <w:r>
        <w:rPr>
          <w:rFonts w:ascii="宋体" w:hAnsi="宋体"/>
          <w:szCs w:val="21"/>
        </w:rPr>
        <w:t>4</w:t>
      </w:r>
      <w:r>
        <w:rPr>
          <w:rFonts w:hint="eastAsia" w:ascii="宋体" w:hAnsi="宋体"/>
          <w:szCs w:val="21"/>
        </w:rPr>
        <w:t>.维修人员：乙方维修人员需具备行业相应的维修资质。</w:t>
      </w:r>
    </w:p>
    <w:p w14:paraId="0224483A">
      <w:pPr>
        <w:spacing w:line="360" w:lineRule="auto"/>
        <w:ind w:firstLine="373" w:firstLineChars="177"/>
        <w:rPr>
          <w:rFonts w:ascii="宋体" w:hAnsi="宋体"/>
          <w:b/>
          <w:bCs/>
          <w:szCs w:val="21"/>
        </w:rPr>
      </w:pPr>
      <w:r>
        <w:rPr>
          <w:rFonts w:hint="eastAsia" w:ascii="宋体" w:hAnsi="宋体"/>
          <w:b/>
          <w:bCs/>
          <w:szCs w:val="21"/>
        </w:rPr>
        <w:t>四、运输和交付</w:t>
      </w:r>
    </w:p>
    <w:p w14:paraId="55C7B4B7">
      <w:pPr>
        <w:spacing w:line="360" w:lineRule="auto"/>
        <w:ind w:firstLine="420" w:firstLineChars="200"/>
        <w:rPr>
          <w:rFonts w:ascii="宋体" w:hAnsi="宋体"/>
          <w:szCs w:val="21"/>
        </w:rPr>
      </w:pPr>
      <w:r>
        <w:rPr>
          <w:rFonts w:hint="eastAsia" w:ascii="宋体" w:hAnsi="宋体"/>
          <w:szCs w:val="21"/>
        </w:rPr>
        <w:t>1.维修在乙方场地进行，</w:t>
      </w:r>
      <w:r>
        <w:rPr>
          <w:rFonts w:hint="eastAsia" w:ascii="宋体" w:hAnsi="宋体"/>
          <w:b/>
          <w:szCs w:val="21"/>
        </w:rPr>
        <w:t>由乙方负责该设备的来回运输并承担运输费用</w:t>
      </w:r>
      <w:r>
        <w:rPr>
          <w:rFonts w:hint="eastAsia" w:ascii="宋体" w:hAnsi="宋体"/>
          <w:szCs w:val="21"/>
        </w:rPr>
        <w:t>。</w:t>
      </w:r>
    </w:p>
    <w:p w14:paraId="7C269267">
      <w:pPr>
        <w:spacing w:line="360" w:lineRule="auto"/>
        <w:ind w:firstLine="420" w:firstLineChars="200"/>
        <w:rPr>
          <w:rFonts w:ascii="宋体" w:hAnsi="宋体"/>
          <w:szCs w:val="21"/>
        </w:rPr>
      </w:pPr>
      <w:r>
        <w:rPr>
          <w:rFonts w:hint="eastAsia" w:ascii="宋体" w:hAnsi="宋体"/>
          <w:szCs w:val="21"/>
        </w:rPr>
        <w:t>2.乙方维修完成并安装好，应通知甲方验收，甲方应在两个工作日内组织相关人员与乙方当场进行验收试运行，合格后甲方才予接收。</w:t>
      </w:r>
      <w:r>
        <w:rPr>
          <w:rFonts w:hint="eastAsia" w:ascii="宋体" w:hAnsi="宋体"/>
          <w:b/>
          <w:szCs w:val="21"/>
        </w:rPr>
        <w:t>验收不合格的，甲方有权解除合同，如甲方未通知乙方解除合同，则乙方应继续维修直至通过验收，并承担因此导致逾期完工的违约责任</w:t>
      </w:r>
      <w:r>
        <w:rPr>
          <w:rFonts w:hint="eastAsia" w:ascii="宋体" w:hAnsi="宋体"/>
          <w:szCs w:val="21"/>
        </w:rPr>
        <w:t>。</w:t>
      </w:r>
    </w:p>
    <w:p w14:paraId="66B30D02">
      <w:pPr>
        <w:spacing w:line="360" w:lineRule="auto"/>
        <w:ind w:firstLine="420" w:firstLineChars="200"/>
        <w:rPr>
          <w:rFonts w:ascii="宋体" w:hAnsi="宋体"/>
          <w:szCs w:val="21"/>
        </w:rPr>
      </w:pPr>
      <w:r>
        <w:rPr>
          <w:rFonts w:hint="eastAsia" w:ascii="宋体" w:hAnsi="宋体"/>
          <w:szCs w:val="21"/>
        </w:rPr>
        <w:t>3.上述设备、工具在运输过程中的风险由乙方承担。甲方的设备在交付乙方或乙方指定承运人时风险转移。设备维修前后的交接，乙方应与甲方办理相应的书面交接手续。</w:t>
      </w:r>
    </w:p>
    <w:p w14:paraId="01E6CC49">
      <w:pPr>
        <w:snapToGrid w:val="0"/>
        <w:spacing w:line="360" w:lineRule="auto"/>
        <w:ind w:firstLine="422" w:firstLineChars="200"/>
        <w:rPr>
          <w:rFonts w:ascii="宋体" w:hAnsi="宋体" w:cs="仿宋_GB2312"/>
          <w:b/>
          <w:szCs w:val="21"/>
        </w:rPr>
      </w:pPr>
      <w:r>
        <w:rPr>
          <w:rFonts w:hint="eastAsia" w:ascii="宋体" w:hAnsi="宋体"/>
          <w:b/>
          <w:bCs/>
          <w:szCs w:val="21"/>
        </w:rPr>
        <w:t>五、</w:t>
      </w:r>
      <w:r>
        <w:rPr>
          <w:rFonts w:hint="eastAsia" w:ascii="宋体" w:hAnsi="宋体" w:cs="仿宋_GB2312"/>
          <w:b/>
          <w:szCs w:val="21"/>
        </w:rPr>
        <w:t>安全生产</w:t>
      </w:r>
    </w:p>
    <w:p w14:paraId="0F285D89">
      <w:pPr>
        <w:spacing w:line="360" w:lineRule="auto"/>
        <w:ind w:firstLine="560"/>
        <w:jc w:val="left"/>
        <w:rPr>
          <w:rFonts w:ascii="宋体" w:hAnsi="宋体"/>
          <w:szCs w:val="21"/>
        </w:rPr>
      </w:pPr>
      <w:r>
        <w:rPr>
          <w:rFonts w:hint="eastAsia" w:ascii="宋体" w:hAnsi="宋体"/>
          <w:szCs w:val="21"/>
        </w:rPr>
        <w:t>1.乙方完成承包业务的同时应确保甲方、乙方和其他任何第三方人员、财产和作业货物的安全，</w:t>
      </w:r>
      <w:r>
        <w:rPr>
          <w:rFonts w:hint="eastAsia" w:ascii="宋体" w:hAnsi="宋体"/>
          <w:b/>
          <w:bCs/>
          <w:szCs w:val="21"/>
        </w:rPr>
        <w:t>否则因此导致的损害赔偿责任概由乙方承担</w:t>
      </w:r>
      <w:r>
        <w:rPr>
          <w:rFonts w:hint="eastAsia" w:ascii="宋体" w:hAnsi="宋体"/>
          <w:szCs w:val="21"/>
        </w:rPr>
        <w:t>。</w:t>
      </w:r>
    </w:p>
    <w:p w14:paraId="7FC86F47">
      <w:pPr>
        <w:spacing w:line="360" w:lineRule="auto"/>
        <w:ind w:firstLine="560"/>
        <w:jc w:val="left"/>
        <w:rPr>
          <w:rFonts w:ascii="宋体" w:hAnsi="宋体"/>
          <w:szCs w:val="21"/>
        </w:rPr>
      </w:pPr>
      <w:r>
        <w:rPr>
          <w:rFonts w:hint="eastAsia" w:ascii="宋体" w:hAnsi="宋体"/>
          <w:szCs w:val="21"/>
        </w:rPr>
        <w:t>2.乙方在承包业务前，应全面了解学习遵守双方签订的《安全管理协议书》，并组织具体完成承包业务的人员全面认真学习其中的规定。</w:t>
      </w:r>
    </w:p>
    <w:p w14:paraId="5A53F3B3">
      <w:pPr>
        <w:spacing w:line="360" w:lineRule="auto"/>
        <w:ind w:firstLine="560"/>
        <w:jc w:val="left"/>
        <w:rPr>
          <w:rFonts w:ascii="宋体" w:hAnsi="宋体"/>
          <w:szCs w:val="21"/>
        </w:rPr>
      </w:pPr>
      <w:r>
        <w:rPr>
          <w:rFonts w:hint="eastAsia" w:ascii="宋体" w:hAnsi="宋体"/>
          <w:szCs w:val="21"/>
        </w:rPr>
        <w:t>3.乙方人员的作业方式应符合安全生产的要求，且乙方须自行为其人员配备相关劳保用品。</w:t>
      </w:r>
    </w:p>
    <w:p w14:paraId="54B32794">
      <w:pPr>
        <w:spacing w:line="360" w:lineRule="auto"/>
        <w:ind w:firstLine="560"/>
        <w:jc w:val="left"/>
        <w:rPr>
          <w:rFonts w:ascii="宋体" w:hAnsi="宋体"/>
          <w:szCs w:val="21"/>
        </w:rPr>
      </w:pPr>
      <w:r>
        <w:rPr>
          <w:rFonts w:hint="eastAsia" w:ascii="宋体" w:hAnsi="宋体"/>
          <w:szCs w:val="21"/>
        </w:rPr>
        <w:t>4.乙方自备的工具应符合安全生产的条件，存在安全隐患的工具不得进入甲方场地使用。</w:t>
      </w:r>
    </w:p>
    <w:p w14:paraId="0361FD94">
      <w:pPr>
        <w:spacing w:line="360" w:lineRule="auto"/>
        <w:ind w:firstLine="560"/>
        <w:jc w:val="left"/>
        <w:rPr>
          <w:rFonts w:ascii="宋体" w:hAnsi="宋体"/>
          <w:szCs w:val="21"/>
        </w:rPr>
      </w:pPr>
      <w:r>
        <w:rPr>
          <w:rFonts w:hint="eastAsia" w:ascii="宋体" w:hAnsi="宋体"/>
          <w:szCs w:val="21"/>
        </w:rPr>
        <w:t>5.乙方应要求其具体完成承包业务的员工严格遵守甲方制定的安全生产管理制度，不能严格遵守甲方安全生产管理制度的员工乙方不得派往甲方场地作业。</w:t>
      </w:r>
      <w:r>
        <w:rPr>
          <w:rFonts w:hint="eastAsia" w:ascii="宋体" w:hAnsi="宋体" w:cs="仿宋_GB2312"/>
          <w:b/>
          <w:szCs w:val="21"/>
        </w:rPr>
        <w:t>乙方维修人员因违规操作、未遵循甲方规章制度或者甲方管理等非甲方原因而造成的一切</w:t>
      </w:r>
      <w:r>
        <w:rPr>
          <w:rFonts w:hint="eastAsia" w:ascii="宋体" w:hAnsi="宋体"/>
          <w:b/>
          <w:szCs w:val="21"/>
        </w:rPr>
        <w:t>经济损失均由乙方承担</w:t>
      </w:r>
      <w:r>
        <w:rPr>
          <w:rFonts w:hint="eastAsia" w:ascii="宋体" w:hAnsi="宋体"/>
          <w:szCs w:val="21"/>
        </w:rPr>
        <w:t>。</w:t>
      </w:r>
    </w:p>
    <w:p w14:paraId="2F41D8A3">
      <w:pPr>
        <w:spacing w:line="360" w:lineRule="auto"/>
        <w:ind w:firstLine="560"/>
        <w:jc w:val="left"/>
        <w:rPr>
          <w:rFonts w:ascii="宋体" w:hAnsi="宋体"/>
          <w:szCs w:val="21"/>
        </w:rPr>
      </w:pPr>
      <w:r>
        <w:rPr>
          <w:rFonts w:hint="eastAsia" w:ascii="宋体" w:hAnsi="宋体"/>
          <w:szCs w:val="21"/>
        </w:rPr>
        <w:t>6、乙方人员的用工、待遇、工伤等纠纷概由乙方负责，与甲方无关。如甲方为此承担责任或垫付费用的，有权向乙方追偿。</w:t>
      </w:r>
    </w:p>
    <w:p w14:paraId="52F36C94">
      <w:pPr>
        <w:spacing w:line="360" w:lineRule="auto"/>
        <w:ind w:firstLine="422" w:firstLineChars="200"/>
        <w:rPr>
          <w:rFonts w:ascii="宋体" w:hAnsi="宋体"/>
          <w:b/>
          <w:bCs/>
          <w:szCs w:val="21"/>
        </w:rPr>
      </w:pPr>
      <w:r>
        <w:rPr>
          <w:rFonts w:hint="eastAsia" w:ascii="宋体" w:hAnsi="宋体"/>
          <w:b/>
          <w:bCs/>
          <w:szCs w:val="21"/>
        </w:rPr>
        <w:t>六、质保期服务</w:t>
      </w:r>
    </w:p>
    <w:p w14:paraId="0AC54CE2">
      <w:pPr>
        <w:spacing w:line="360" w:lineRule="auto"/>
        <w:ind w:firstLine="420" w:firstLineChars="200"/>
        <w:rPr>
          <w:rFonts w:ascii="宋体" w:hAnsi="宋体"/>
          <w:szCs w:val="21"/>
        </w:rPr>
      </w:pPr>
      <w:r>
        <w:rPr>
          <w:rFonts w:hint="eastAsia" w:ascii="宋体" w:hAnsi="宋体"/>
          <w:szCs w:val="21"/>
        </w:rPr>
        <w:t>1.质保期：</w:t>
      </w:r>
      <w:r>
        <w:rPr>
          <w:rFonts w:hint="eastAsia" w:ascii="宋体" w:hAnsi="宋体" w:cs="宋体"/>
          <w:sz w:val="22"/>
          <w:szCs w:val="22"/>
        </w:rPr>
        <w:t>经浙江省特种设备科学研究院出具合格检验报告且双方共同验收合格后，质保期开始起计</w:t>
      </w:r>
      <w:r>
        <w:rPr>
          <w:rFonts w:hint="eastAsia" w:ascii="宋体" w:hAnsi="宋体" w:cs="宋体"/>
          <w:sz w:val="22"/>
          <w:szCs w:val="22"/>
          <w:u w:val="single"/>
        </w:rPr>
        <w:t xml:space="preserve">   </w:t>
      </w:r>
      <w:r>
        <w:rPr>
          <w:rFonts w:hint="eastAsia" w:ascii="宋体" w:hAnsi="宋体" w:cs="宋体"/>
          <w:sz w:val="22"/>
          <w:szCs w:val="22"/>
        </w:rPr>
        <w:t>年</w:t>
      </w:r>
      <w:r>
        <w:rPr>
          <w:rFonts w:hint="eastAsia" w:ascii="宋体" w:hAnsi="宋体"/>
          <w:szCs w:val="21"/>
        </w:rPr>
        <w:t>。</w:t>
      </w:r>
    </w:p>
    <w:p w14:paraId="24612BDF">
      <w:pPr>
        <w:spacing w:line="360" w:lineRule="auto"/>
        <w:ind w:firstLine="420" w:firstLineChars="200"/>
        <w:rPr>
          <w:rFonts w:ascii="宋体" w:hAnsi="宋体"/>
          <w:szCs w:val="21"/>
        </w:rPr>
      </w:pPr>
      <w:r>
        <w:rPr>
          <w:rFonts w:hint="eastAsia" w:ascii="宋体" w:hAnsi="宋体"/>
          <w:szCs w:val="21"/>
        </w:rPr>
        <w:t>2.乙方项目维修改造完成后须国家环保部门认可的国四排放标准的检测证明</w:t>
      </w:r>
    </w:p>
    <w:p w14:paraId="66463C1D">
      <w:pPr>
        <w:spacing w:line="360" w:lineRule="auto"/>
        <w:ind w:firstLine="420" w:firstLineChars="200"/>
        <w:rPr>
          <w:rFonts w:ascii="宋体" w:hAnsi="宋体"/>
          <w:szCs w:val="21"/>
        </w:rPr>
      </w:pPr>
      <w:r>
        <w:rPr>
          <w:rFonts w:hint="eastAsia" w:ascii="宋体" w:hAnsi="宋体"/>
          <w:szCs w:val="21"/>
        </w:rPr>
        <w:t>3.乙方质保期内，承诺在接到甲方维修通知的 12 小时内做出响应，24小时内进场维修（若为油管更换后出现由于安装问题引起的故障，需在接到甲方通知后24小时内处理完毕），并在最短时间处理好故障，不得推卸。乙方承诺发生零部件或维修质量问题时，乙方遵循国家标准或行业标准进行修复；如遇发动机故障，乙方遵循发动机大修规范进行修复。</w:t>
      </w:r>
    </w:p>
    <w:p w14:paraId="4FD81647">
      <w:pPr>
        <w:spacing w:line="360" w:lineRule="auto"/>
        <w:ind w:firstLine="422" w:firstLineChars="200"/>
        <w:rPr>
          <w:rFonts w:ascii="宋体" w:hAnsi="宋体"/>
          <w:b/>
          <w:bCs/>
          <w:szCs w:val="21"/>
        </w:rPr>
      </w:pPr>
      <w:r>
        <w:rPr>
          <w:rFonts w:hint="eastAsia" w:ascii="宋体" w:hAnsi="宋体"/>
          <w:b/>
          <w:bCs/>
          <w:szCs w:val="21"/>
        </w:rPr>
        <w:t>七、付款方式</w:t>
      </w:r>
    </w:p>
    <w:p w14:paraId="58F5C908">
      <w:pPr>
        <w:spacing w:line="360" w:lineRule="auto"/>
        <w:ind w:firstLine="420" w:firstLineChars="200"/>
        <w:rPr>
          <w:rFonts w:ascii="宋体" w:hAnsi="宋体"/>
          <w:szCs w:val="21"/>
        </w:rPr>
      </w:pPr>
      <w:r>
        <w:rPr>
          <w:rFonts w:hint="eastAsia" w:ascii="宋体" w:hAnsi="宋体"/>
          <w:szCs w:val="21"/>
        </w:rPr>
        <w:t>1.在合同签订前乙方提供</w:t>
      </w:r>
      <w:r>
        <w:rPr>
          <w:rFonts w:hint="eastAsia" w:ascii="宋体" w:hAnsi="宋体"/>
          <w:szCs w:val="21"/>
          <w:u w:val="single"/>
        </w:rPr>
        <w:t>合同价款5%的</w:t>
      </w:r>
      <w:r>
        <w:rPr>
          <w:rFonts w:hint="eastAsia" w:ascii="宋体" w:hAnsi="宋体"/>
          <w:szCs w:val="21"/>
        </w:rPr>
        <w:t>履约保证金，如乙方在签约前未在规定的时间内提交履约保证金则甲方有权拒签合同。</w:t>
      </w:r>
    </w:p>
    <w:p w14:paraId="6B274B11">
      <w:pPr>
        <w:spacing w:line="360" w:lineRule="auto"/>
        <w:ind w:firstLine="420" w:firstLineChars="200"/>
        <w:rPr>
          <w:rFonts w:ascii="宋体" w:hAnsi="宋体"/>
          <w:szCs w:val="21"/>
        </w:rPr>
      </w:pPr>
      <w:r>
        <w:rPr>
          <w:rFonts w:hint="eastAsia" w:ascii="宋体" w:hAnsi="宋体"/>
          <w:szCs w:val="21"/>
        </w:rPr>
        <w:t>2.根据双方签字确认的结算清单，乙方开具经双方维修金额的全额增值税专用发票，甲方在收到发票后以银行转账的方式支付100%的维修费。</w:t>
      </w:r>
    </w:p>
    <w:p w14:paraId="053055DE">
      <w:pPr>
        <w:spacing w:line="360" w:lineRule="auto"/>
        <w:ind w:firstLine="420" w:firstLineChars="200"/>
        <w:rPr>
          <w:rFonts w:ascii="宋体" w:hAnsi="宋体"/>
          <w:szCs w:val="21"/>
        </w:rPr>
      </w:pPr>
      <w:r>
        <w:rPr>
          <w:rFonts w:hint="eastAsia" w:ascii="宋体" w:hAnsi="宋体"/>
          <w:szCs w:val="21"/>
        </w:rPr>
        <w:t>3.在验收合格后</w:t>
      </w:r>
      <w:r>
        <w:rPr>
          <w:rFonts w:hint="eastAsia" w:ascii="宋体" w:hAnsi="宋体"/>
          <w:szCs w:val="21"/>
          <w:lang w:eastAsia="zh-CN"/>
        </w:rPr>
        <w:t>，</w:t>
      </w:r>
      <w:r>
        <w:rPr>
          <w:rFonts w:hint="eastAsia" w:ascii="宋体" w:hAnsi="宋体"/>
          <w:szCs w:val="21"/>
        </w:rPr>
        <w:t>履约保证金自动转为质保金，待质保期到期，甲方收到乙方开具的正式收据后30个日历天内，无息向乙方退还质保金。</w:t>
      </w:r>
    </w:p>
    <w:p w14:paraId="0EF3D25D">
      <w:pPr>
        <w:spacing w:line="360" w:lineRule="auto"/>
        <w:ind w:firstLine="420" w:firstLineChars="200"/>
        <w:rPr>
          <w:rFonts w:ascii="宋体" w:hAnsi="宋体"/>
          <w:szCs w:val="21"/>
        </w:rPr>
      </w:pPr>
      <w:r>
        <w:rPr>
          <w:rFonts w:hint="eastAsia" w:ascii="宋体" w:hAnsi="宋体"/>
          <w:szCs w:val="21"/>
        </w:rPr>
        <w:t>4.因乙方原因产生的任何违约金、赔偿金等款项，甲方均可在履约保证金及未付款项中直接扣除。履约保证金被扣收发生后，乙方应在15个日历天内补足，逾期补足的，按每日万分之五支付违约金。</w:t>
      </w:r>
    </w:p>
    <w:p w14:paraId="21F2F7B6">
      <w:pPr>
        <w:spacing w:line="360" w:lineRule="auto"/>
        <w:ind w:firstLine="420" w:firstLineChars="200"/>
        <w:rPr>
          <w:rFonts w:ascii="宋体" w:hAnsi="宋体"/>
          <w:szCs w:val="21"/>
        </w:rPr>
      </w:pPr>
      <w:r>
        <w:rPr>
          <w:rFonts w:hint="eastAsia" w:ascii="宋体" w:hAnsi="宋体"/>
          <w:szCs w:val="21"/>
        </w:rPr>
        <w:t>5.本合同价格含增值税，合同履行期间，如国家调整增值税率，则合同价款按不含税价不变的原则进行调整。</w:t>
      </w:r>
    </w:p>
    <w:p w14:paraId="77C785A7">
      <w:pPr>
        <w:snapToGrid w:val="0"/>
        <w:spacing w:line="360" w:lineRule="auto"/>
        <w:ind w:firstLine="422" w:firstLineChars="200"/>
        <w:rPr>
          <w:rFonts w:ascii="宋体" w:hAnsi="宋体" w:cs="仿宋_GB2312"/>
          <w:b/>
          <w:szCs w:val="21"/>
        </w:rPr>
      </w:pPr>
      <w:r>
        <w:rPr>
          <w:rFonts w:hint="eastAsia" w:ascii="宋体" w:hAnsi="宋体" w:cs="仿宋_GB2312"/>
          <w:b/>
          <w:szCs w:val="21"/>
        </w:rPr>
        <w:t>八、违约责任</w:t>
      </w:r>
    </w:p>
    <w:p w14:paraId="77A81997">
      <w:pPr>
        <w:wordWrap w:val="0"/>
        <w:snapToGrid w:val="0"/>
        <w:spacing w:line="360" w:lineRule="auto"/>
        <w:ind w:firstLine="420" w:firstLineChars="200"/>
        <w:rPr>
          <w:rFonts w:ascii="宋体" w:hAnsi="宋体" w:cs="仿宋_GB2312"/>
          <w:szCs w:val="21"/>
        </w:rPr>
      </w:pPr>
      <w:r>
        <w:rPr>
          <w:rFonts w:hint="eastAsia" w:ascii="宋体" w:hAnsi="宋体" w:cs="仿宋_GB2312"/>
          <w:szCs w:val="21"/>
        </w:rPr>
        <w:t>1</w:t>
      </w:r>
      <w:r>
        <w:rPr>
          <w:rFonts w:hint="eastAsia" w:ascii="宋体" w:hAnsi="宋体"/>
          <w:szCs w:val="21"/>
        </w:rPr>
        <w:t>.</w:t>
      </w:r>
      <w:r>
        <w:rPr>
          <w:rFonts w:hint="eastAsia" w:ascii="宋体" w:hAnsi="宋体" w:cs="仿宋_GB2312"/>
          <w:b/>
          <w:szCs w:val="21"/>
        </w:rPr>
        <w:t>乙方接到甲方报修电话之时起，每拖延一小时到达现场的，乙方向甲方支付违约金</w:t>
      </w:r>
      <w:r>
        <w:rPr>
          <w:rFonts w:hint="eastAsia" w:ascii="宋体" w:hAnsi="宋体" w:cs="仿宋_GB2312"/>
          <w:b/>
          <w:szCs w:val="21"/>
          <w:u w:val="single"/>
        </w:rPr>
        <w:t xml:space="preserve"> 200 </w:t>
      </w:r>
      <w:r>
        <w:rPr>
          <w:rFonts w:hint="eastAsia" w:ascii="宋体" w:hAnsi="宋体" w:cs="仿宋_GB2312"/>
          <w:b/>
          <w:szCs w:val="21"/>
        </w:rPr>
        <w:t>元</w:t>
      </w:r>
      <w:r>
        <w:rPr>
          <w:rFonts w:hint="eastAsia" w:ascii="宋体" w:hAnsi="宋体" w:cs="仿宋_GB2312"/>
          <w:szCs w:val="21"/>
        </w:rPr>
        <w:t>。</w:t>
      </w:r>
    </w:p>
    <w:p w14:paraId="5CBC5281">
      <w:pPr>
        <w:snapToGrid w:val="0"/>
        <w:spacing w:line="360" w:lineRule="auto"/>
        <w:ind w:firstLine="420" w:firstLineChars="200"/>
        <w:rPr>
          <w:rFonts w:ascii="宋体" w:hAnsi="宋体" w:cs="仿宋_GB2312"/>
          <w:szCs w:val="21"/>
        </w:rPr>
      </w:pPr>
      <w:r>
        <w:rPr>
          <w:rFonts w:hint="eastAsia" w:ascii="宋体" w:hAnsi="宋体" w:cs="仿宋_GB2312"/>
          <w:szCs w:val="21"/>
        </w:rPr>
        <w:t>2</w:t>
      </w:r>
      <w:r>
        <w:rPr>
          <w:rFonts w:hint="eastAsia" w:ascii="宋体" w:hAnsi="宋体"/>
          <w:szCs w:val="21"/>
        </w:rPr>
        <w:t>.</w:t>
      </w:r>
      <w:r>
        <w:rPr>
          <w:rFonts w:hint="eastAsia" w:ascii="宋体" w:hAnsi="宋体" w:cs="仿宋_GB2312"/>
          <w:b/>
          <w:szCs w:val="21"/>
        </w:rPr>
        <w:t>乙方未能按照维修清单确定的期限完成维修并经甲方验收合格后交付的，每逾期一天，乙方应向甲方支付违约金</w:t>
      </w:r>
      <w:r>
        <w:rPr>
          <w:rFonts w:hint="eastAsia" w:ascii="宋体" w:hAnsi="宋体" w:cs="仿宋_GB2312"/>
          <w:b/>
          <w:szCs w:val="21"/>
          <w:u w:val="single"/>
        </w:rPr>
        <w:t xml:space="preserve"> 500 </w:t>
      </w:r>
      <w:r>
        <w:rPr>
          <w:rFonts w:hint="eastAsia" w:ascii="宋体" w:hAnsi="宋体" w:cs="仿宋_GB2312"/>
          <w:b/>
          <w:szCs w:val="21"/>
        </w:rPr>
        <w:t>元；逾期超过</w:t>
      </w:r>
      <w:r>
        <w:rPr>
          <w:rFonts w:hint="eastAsia" w:ascii="宋体" w:hAnsi="宋体" w:cs="仿宋_GB2312"/>
          <w:b/>
          <w:szCs w:val="21"/>
          <w:u w:val="single"/>
        </w:rPr>
        <w:t xml:space="preserve"> 30 </w:t>
      </w:r>
      <w:r>
        <w:rPr>
          <w:rFonts w:hint="eastAsia" w:ascii="宋体" w:hAnsi="宋体" w:cs="仿宋_GB2312"/>
          <w:b/>
          <w:szCs w:val="21"/>
        </w:rPr>
        <w:t>天的，甲方有权解除本合同，并要求乙方支付</w:t>
      </w:r>
      <w:r>
        <w:rPr>
          <w:rFonts w:hint="eastAsia" w:ascii="宋体" w:hAnsi="宋体" w:cs="仿宋_GB2312"/>
          <w:b/>
          <w:bCs/>
          <w:szCs w:val="21"/>
        </w:rPr>
        <w:t>合同价款</w:t>
      </w:r>
      <w:r>
        <w:rPr>
          <w:rFonts w:hint="eastAsia" w:ascii="宋体" w:hAnsi="宋体" w:cs="仿宋_GB2312"/>
          <w:b/>
          <w:szCs w:val="21"/>
          <w:u w:val="single"/>
        </w:rPr>
        <w:t>5%的</w:t>
      </w:r>
      <w:r>
        <w:rPr>
          <w:rFonts w:hint="eastAsia" w:ascii="宋体" w:hAnsi="宋体" w:cs="仿宋_GB2312"/>
          <w:b/>
          <w:szCs w:val="21"/>
        </w:rPr>
        <w:t>违约金</w:t>
      </w:r>
      <w:r>
        <w:rPr>
          <w:rFonts w:hint="eastAsia" w:ascii="宋体" w:hAnsi="宋体" w:cs="仿宋_GB2312"/>
          <w:szCs w:val="21"/>
        </w:rPr>
        <w:t>。</w:t>
      </w:r>
    </w:p>
    <w:p w14:paraId="2C7371E7">
      <w:pPr>
        <w:snapToGrid w:val="0"/>
        <w:spacing w:line="360" w:lineRule="auto"/>
        <w:ind w:firstLine="420" w:firstLineChars="200"/>
        <w:rPr>
          <w:rFonts w:ascii="宋体" w:hAnsi="宋体" w:cs="仿宋_GB2312"/>
          <w:szCs w:val="21"/>
        </w:rPr>
      </w:pPr>
      <w:r>
        <w:rPr>
          <w:rFonts w:hint="eastAsia" w:ascii="宋体" w:hAnsi="宋体" w:cs="仿宋_GB2312"/>
          <w:szCs w:val="21"/>
        </w:rPr>
        <w:t>3</w:t>
      </w:r>
      <w:r>
        <w:rPr>
          <w:rFonts w:hint="eastAsia" w:ascii="宋体" w:hAnsi="宋体"/>
          <w:szCs w:val="21"/>
        </w:rPr>
        <w:t>.</w:t>
      </w:r>
      <w:r>
        <w:rPr>
          <w:rFonts w:hint="eastAsia" w:ascii="宋体" w:hAnsi="宋体" w:cs="仿宋_GB2312"/>
          <w:szCs w:val="21"/>
        </w:rPr>
        <w:t>设备在维修、发送、运输等合同履行过程中发生灭失或损坏的，乙方应予赔偿。</w:t>
      </w:r>
    </w:p>
    <w:p w14:paraId="3AAFCEE9">
      <w:pPr>
        <w:snapToGrid w:val="0"/>
        <w:spacing w:line="360" w:lineRule="auto"/>
        <w:ind w:firstLine="420" w:firstLineChars="200"/>
        <w:rPr>
          <w:rFonts w:ascii="宋体" w:hAnsi="宋体" w:cs="仿宋_GB2312"/>
          <w:szCs w:val="21"/>
        </w:rPr>
      </w:pPr>
      <w:r>
        <w:rPr>
          <w:rFonts w:hint="eastAsia" w:ascii="宋体" w:hAnsi="宋体" w:cs="仿宋_GB2312"/>
          <w:szCs w:val="21"/>
        </w:rPr>
        <w:t>4</w:t>
      </w:r>
      <w:r>
        <w:rPr>
          <w:rFonts w:hint="eastAsia" w:ascii="宋体" w:hAnsi="宋体"/>
          <w:szCs w:val="21"/>
        </w:rPr>
        <w:t>.</w:t>
      </w:r>
      <w:r>
        <w:rPr>
          <w:rFonts w:hint="eastAsia" w:ascii="宋体" w:hAnsi="宋体" w:cs="仿宋_GB2312"/>
          <w:b/>
          <w:szCs w:val="21"/>
        </w:rPr>
        <w:t>维修设备在质保期间内出现故障而乙方拒不维修或者拖延维修的，乙方应向甲方支付</w:t>
      </w:r>
      <w:r>
        <w:rPr>
          <w:rFonts w:hint="eastAsia" w:ascii="宋体" w:hAnsi="宋体" w:cs="仿宋_GB2312"/>
          <w:b/>
          <w:bCs/>
          <w:szCs w:val="21"/>
        </w:rPr>
        <w:t>合同价款</w:t>
      </w:r>
      <w:r>
        <w:rPr>
          <w:rFonts w:hint="eastAsia" w:ascii="宋体" w:hAnsi="宋体" w:cs="仿宋_GB2312"/>
          <w:b/>
          <w:szCs w:val="21"/>
          <w:u w:val="single"/>
        </w:rPr>
        <w:t>5%的</w:t>
      </w:r>
      <w:r>
        <w:rPr>
          <w:rFonts w:hint="eastAsia" w:ascii="宋体" w:hAnsi="宋体" w:cs="仿宋_GB2312"/>
          <w:b/>
          <w:szCs w:val="21"/>
        </w:rPr>
        <w:t>违约金，造成甲方损失的，乙方还需承担因此造成的一切经济损失（包括直接损失、可得利益的损失）。同时，</w:t>
      </w:r>
      <w:r>
        <w:rPr>
          <w:rFonts w:hint="eastAsia" w:ascii="宋体" w:hAnsi="宋体"/>
          <w:b/>
          <w:szCs w:val="21"/>
        </w:rPr>
        <w:t>甲方有权另行委托第三方进行维修，因此产生的维修费用概由乙方承担，并以甲方与第三方实际结算金额为准</w:t>
      </w:r>
      <w:r>
        <w:rPr>
          <w:rFonts w:hint="eastAsia" w:ascii="宋体" w:hAnsi="宋体"/>
          <w:szCs w:val="21"/>
        </w:rPr>
        <w:t>。</w:t>
      </w:r>
    </w:p>
    <w:p w14:paraId="294AB4C8">
      <w:pPr>
        <w:snapToGrid w:val="0"/>
        <w:spacing w:line="360" w:lineRule="auto"/>
        <w:ind w:firstLine="420" w:firstLineChars="200"/>
        <w:rPr>
          <w:rFonts w:ascii="宋体" w:hAnsi="宋体" w:cs="仿宋_GB2312"/>
          <w:b/>
          <w:bCs/>
          <w:szCs w:val="21"/>
        </w:rPr>
      </w:pPr>
      <w:r>
        <w:rPr>
          <w:rFonts w:hint="eastAsia" w:ascii="宋体" w:hAnsi="宋体" w:cs="仿宋_GB2312"/>
          <w:szCs w:val="21"/>
        </w:rPr>
        <w:t>5</w:t>
      </w:r>
      <w:r>
        <w:rPr>
          <w:rFonts w:hint="eastAsia" w:ascii="宋体" w:hAnsi="宋体"/>
          <w:szCs w:val="21"/>
        </w:rPr>
        <w:t>.</w:t>
      </w:r>
      <w:r>
        <w:rPr>
          <w:rFonts w:hint="eastAsia" w:ascii="宋体" w:hAnsi="宋体" w:cs="仿宋_GB2312"/>
          <w:b/>
          <w:szCs w:val="21"/>
        </w:rPr>
        <w:t>合同期限内，乙方维修后的设备因同样原因发生故障</w:t>
      </w:r>
      <w:r>
        <w:rPr>
          <w:rFonts w:hint="eastAsia" w:ascii="宋体" w:hAnsi="宋体" w:cs="仿宋_GB2312"/>
          <w:b/>
          <w:szCs w:val="21"/>
          <w:u w:val="single"/>
        </w:rPr>
        <w:t xml:space="preserve">  2  </w:t>
      </w:r>
      <w:r>
        <w:rPr>
          <w:rFonts w:hint="eastAsia" w:ascii="宋体" w:hAnsi="宋体" w:cs="仿宋_GB2312"/>
          <w:b/>
          <w:szCs w:val="21"/>
        </w:rPr>
        <w:t>次的，乙方应向甲方支付违约金</w:t>
      </w:r>
      <w:r>
        <w:rPr>
          <w:rFonts w:hint="eastAsia" w:ascii="宋体" w:hAnsi="宋体" w:cs="仿宋_GB2312"/>
          <w:b/>
          <w:szCs w:val="21"/>
          <w:u w:val="single"/>
        </w:rPr>
        <w:t xml:space="preserve"> 5000</w:t>
      </w:r>
      <w:r>
        <w:rPr>
          <w:rFonts w:hint="eastAsia" w:ascii="宋体" w:hAnsi="宋体" w:cs="仿宋_GB2312"/>
          <w:b/>
          <w:szCs w:val="21"/>
        </w:rPr>
        <w:t>元</w:t>
      </w:r>
      <w:r>
        <w:rPr>
          <w:rFonts w:hint="eastAsia" w:ascii="宋体" w:hAnsi="宋体" w:cs="仿宋_GB2312"/>
          <w:szCs w:val="21"/>
        </w:rPr>
        <w:t>。</w:t>
      </w:r>
      <w:r>
        <w:rPr>
          <w:rFonts w:hint="eastAsia" w:ascii="宋体" w:hAnsi="宋体" w:cs="仿宋_GB2312"/>
          <w:b/>
          <w:bCs/>
          <w:szCs w:val="21"/>
        </w:rPr>
        <w:t>乙方维修后的设备因同样原因发生故障</w:t>
      </w:r>
      <w:r>
        <w:rPr>
          <w:rFonts w:hint="eastAsia" w:ascii="宋体" w:hAnsi="宋体" w:cs="仿宋_GB2312"/>
          <w:b/>
          <w:bCs/>
          <w:szCs w:val="21"/>
          <w:u w:val="single"/>
        </w:rPr>
        <w:t xml:space="preserve">  3  </w:t>
      </w:r>
      <w:r>
        <w:rPr>
          <w:rFonts w:hint="eastAsia" w:ascii="宋体" w:hAnsi="宋体" w:cs="仿宋_GB2312"/>
          <w:b/>
          <w:bCs/>
          <w:szCs w:val="21"/>
        </w:rPr>
        <w:t>次以上的，甲方有权解除本合同，并要求乙方支付合同价款</w:t>
      </w:r>
      <w:r>
        <w:rPr>
          <w:rFonts w:hint="eastAsia" w:ascii="宋体" w:hAnsi="宋体" w:cs="仿宋_GB2312"/>
          <w:b/>
          <w:szCs w:val="21"/>
          <w:u w:val="single"/>
        </w:rPr>
        <w:t>5%的</w:t>
      </w:r>
      <w:r>
        <w:rPr>
          <w:rFonts w:hint="eastAsia" w:ascii="宋体" w:hAnsi="宋体" w:cs="仿宋_GB2312"/>
          <w:b/>
          <w:bCs/>
          <w:szCs w:val="21"/>
        </w:rPr>
        <w:t>违约金。</w:t>
      </w:r>
    </w:p>
    <w:p w14:paraId="752B9457">
      <w:pPr>
        <w:snapToGrid w:val="0"/>
        <w:spacing w:line="360" w:lineRule="auto"/>
        <w:ind w:firstLine="420" w:firstLineChars="200"/>
        <w:rPr>
          <w:rFonts w:ascii="宋体" w:hAnsi="宋体" w:cs="仿宋_GB2312"/>
          <w:szCs w:val="21"/>
        </w:rPr>
      </w:pPr>
      <w:r>
        <w:rPr>
          <w:rFonts w:hint="eastAsia" w:ascii="宋体" w:hAnsi="宋体" w:cs="仿宋_GB2312"/>
          <w:szCs w:val="21"/>
        </w:rPr>
        <w:t>6</w:t>
      </w:r>
      <w:r>
        <w:rPr>
          <w:rFonts w:hint="eastAsia" w:ascii="宋体" w:hAnsi="宋体"/>
          <w:szCs w:val="21"/>
        </w:rPr>
        <w:t>.</w:t>
      </w:r>
      <w:r>
        <w:rPr>
          <w:rFonts w:hint="eastAsia" w:ascii="宋体" w:hAnsi="宋体" w:cs="仿宋_GB2312"/>
          <w:b/>
          <w:szCs w:val="21"/>
        </w:rPr>
        <w:t>违约金按单次维修计算，甲方有权将乙方应承担的违约金或赔偿金在应支付给乙方的维修费用总额中抵扣，若单次维修费用总额不足以抵扣的，则在下一次维修的维修费用总额中抵扣，或要求乙方另向甲方支付</w:t>
      </w:r>
      <w:r>
        <w:rPr>
          <w:rFonts w:hint="eastAsia" w:ascii="宋体" w:hAnsi="宋体" w:cs="仿宋_GB2312"/>
          <w:szCs w:val="21"/>
        </w:rPr>
        <w:t>。</w:t>
      </w:r>
    </w:p>
    <w:p w14:paraId="787F3257">
      <w:pPr>
        <w:spacing w:line="360" w:lineRule="auto"/>
        <w:ind w:firstLine="560"/>
        <w:jc w:val="left"/>
        <w:rPr>
          <w:rFonts w:ascii="宋体" w:hAnsi="宋体"/>
          <w:b/>
          <w:bCs/>
          <w:szCs w:val="21"/>
        </w:rPr>
      </w:pPr>
      <w:r>
        <w:rPr>
          <w:rFonts w:hint="eastAsia" w:ascii="宋体" w:hAnsi="宋体"/>
          <w:b/>
          <w:bCs/>
          <w:szCs w:val="21"/>
        </w:rPr>
        <w:t>九、法律适用和争议解决</w:t>
      </w:r>
    </w:p>
    <w:p w14:paraId="19909042">
      <w:pPr>
        <w:spacing w:line="360" w:lineRule="auto"/>
        <w:ind w:firstLine="560"/>
        <w:jc w:val="left"/>
        <w:rPr>
          <w:rFonts w:ascii="宋体" w:hAnsi="宋体"/>
          <w:bCs/>
          <w:szCs w:val="21"/>
        </w:rPr>
      </w:pPr>
      <w:r>
        <w:rPr>
          <w:rFonts w:hint="eastAsia" w:ascii="宋体" w:hAnsi="宋体"/>
          <w:bCs/>
          <w:szCs w:val="21"/>
        </w:rPr>
        <w:t>1.本合同及合同纠纷解决程序受中华人民共和国（中国）法律管辖，并按照中国法律解释。</w:t>
      </w:r>
    </w:p>
    <w:p w14:paraId="26CED17C">
      <w:pPr>
        <w:spacing w:line="360" w:lineRule="auto"/>
        <w:ind w:firstLine="560"/>
        <w:jc w:val="left"/>
        <w:rPr>
          <w:rFonts w:ascii="宋体" w:hAnsi="宋体"/>
          <w:bCs/>
          <w:szCs w:val="21"/>
        </w:rPr>
      </w:pPr>
      <w:r>
        <w:rPr>
          <w:rFonts w:hint="eastAsia" w:ascii="宋体" w:hAnsi="宋体"/>
          <w:bCs/>
          <w:szCs w:val="21"/>
        </w:rPr>
        <w:t>2.与本合同有关的一切争议，双方应协商解决；协商不成的，任何一方有权向甲方所在地人民法院提起诉讼。</w:t>
      </w:r>
    </w:p>
    <w:p w14:paraId="3405EDC2">
      <w:pPr>
        <w:spacing w:line="360" w:lineRule="auto"/>
        <w:ind w:firstLine="560"/>
        <w:jc w:val="left"/>
        <w:rPr>
          <w:rFonts w:ascii="宋体" w:hAnsi="宋体"/>
          <w:bCs/>
          <w:szCs w:val="21"/>
        </w:rPr>
      </w:pPr>
      <w:r>
        <w:rPr>
          <w:rFonts w:hint="eastAsia" w:ascii="宋体" w:hAnsi="宋体"/>
          <w:bCs/>
          <w:szCs w:val="21"/>
        </w:rPr>
        <w:t>3. 对于合同中未受争议问题影响的其他条款，在争议解决过程中，双方仍应按合同约定履行。</w:t>
      </w:r>
    </w:p>
    <w:p w14:paraId="7F5BC59C">
      <w:pPr>
        <w:spacing w:line="360" w:lineRule="auto"/>
        <w:ind w:firstLine="560"/>
        <w:jc w:val="left"/>
        <w:rPr>
          <w:rFonts w:ascii="宋体" w:hAnsi="宋体"/>
          <w:b/>
          <w:bCs/>
          <w:szCs w:val="21"/>
        </w:rPr>
      </w:pPr>
      <w:r>
        <w:rPr>
          <w:rFonts w:hint="eastAsia" w:ascii="宋体" w:hAnsi="宋体"/>
          <w:b/>
          <w:bCs/>
          <w:szCs w:val="21"/>
        </w:rPr>
        <w:t>十、其它事项</w:t>
      </w:r>
    </w:p>
    <w:p w14:paraId="1C26443F">
      <w:pPr>
        <w:spacing w:line="360" w:lineRule="auto"/>
        <w:ind w:firstLine="560"/>
        <w:jc w:val="left"/>
        <w:rPr>
          <w:rFonts w:ascii="宋体" w:hAnsi="宋体"/>
          <w:szCs w:val="21"/>
        </w:rPr>
      </w:pPr>
      <w:r>
        <w:rPr>
          <w:rFonts w:hint="eastAsia" w:ascii="宋体" w:hAnsi="宋体"/>
          <w:szCs w:val="21"/>
        </w:rPr>
        <w:t>1.本合同一式贰份，甲方执壹份，乙方执壹份，本合同自双方盖章签字之日起生效。</w:t>
      </w:r>
    </w:p>
    <w:p w14:paraId="42D7A727">
      <w:pPr>
        <w:spacing w:line="360" w:lineRule="auto"/>
        <w:ind w:firstLine="560"/>
        <w:jc w:val="left"/>
        <w:rPr>
          <w:rFonts w:ascii="宋体" w:hAnsi="宋体"/>
          <w:szCs w:val="21"/>
        </w:rPr>
      </w:pPr>
      <w:r>
        <w:rPr>
          <w:rFonts w:hint="eastAsia" w:ascii="宋体" w:hAnsi="宋体"/>
          <w:szCs w:val="21"/>
        </w:rPr>
        <w:t>附件1：结算清单</w:t>
      </w:r>
    </w:p>
    <w:p w14:paraId="1999C0E0">
      <w:pPr>
        <w:spacing w:line="360" w:lineRule="auto"/>
        <w:ind w:firstLine="560"/>
        <w:jc w:val="left"/>
        <w:rPr>
          <w:rFonts w:ascii="宋体" w:hAnsi="宋体"/>
          <w:szCs w:val="21"/>
        </w:rPr>
      </w:pPr>
      <w:r>
        <w:rPr>
          <w:rFonts w:hint="eastAsia" w:ascii="宋体" w:hAnsi="宋体"/>
          <w:szCs w:val="21"/>
        </w:rPr>
        <w:t>附件2：廉政协议书</w:t>
      </w:r>
    </w:p>
    <w:p w14:paraId="7E4B9FD3">
      <w:pPr>
        <w:spacing w:line="360" w:lineRule="auto"/>
        <w:ind w:firstLine="560"/>
        <w:jc w:val="left"/>
        <w:rPr>
          <w:rFonts w:ascii="宋体" w:hAnsi="宋体"/>
          <w:szCs w:val="21"/>
        </w:rPr>
      </w:pPr>
      <w:r>
        <w:rPr>
          <w:rFonts w:hint="eastAsia" w:ascii="宋体" w:hAnsi="宋体"/>
          <w:szCs w:val="21"/>
        </w:rPr>
        <w:t>附件3：合作伙伴合规承诺书</w:t>
      </w:r>
    </w:p>
    <w:p w14:paraId="4B73E988">
      <w:pPr>
        <w:spacing w:line="360" w:lineRule="auto"/>
        <w:ind w:firstLine="560"/>
        <w:jc w:val="left"/>
        <w:rPr>
          <w:rFonts w:ascii="宋体" w:hAnsi="宋体"/>
          <w:szCs w:val="21"/>
        </w:rPr>
      </w:pPr>
      <w:r>
        <w:rPr>
          <w:rFonts w:hint="eastAsia" w:ascii="宋体" w:hAnsi="宋体"/>
          <w:szCs w:val="21"/>
        </w:rPr>
        <w:t>附件4：社会治安综合治理责任书</w:t>
      </w:r>
    </w:p>
    <w:p w14:paraId="53D29D40">
      <w:pPr>
        <w:spacing w:line="360" w:lineRule="auto"/>
        <w:ind w:firstLine="560"/>
        <w:jc w:val="left"/>
        <w:rPr>
          <w:rFonts w:ascii="宋体" w:hAnsi="宋体"/>
          <w:szCs w:val="21"/>
        </w:rPr>
      </w:pPr>
      <w:r>
        <w:rPr>
          <w:rFonts w:hint="eastAsia" w:ascii="宋体" w:hAnsi="宋体"/>
          <w:szCs w:val="21"/>
        </w:rPr>
        <w:t>附件5：相关方安全环保消防综治告知书</w:t>
      </w:r>
    </w:p>
    <w:p w14:paraId="5EDB59F8">
      <w:pPr>
        <w:spacing w:line="360" w:lineRule="auto"/>
        <w:ind w:firstLine="560"/>
        <w:jc w:val="left"/>
        <w:rPr>
          <w:rFonts w:ascii="宋体" w:hAnsi="宋体"/>
          <w:szCs w:val="21"/>
        </w:rPr>
      </w:pPr>
      <w:r>
        <w:rPr>
          <w:rFonts w:hint="eastAsia" w:ascii="宋体" w:hAnsi="宋体"/>
          <w:szCs w:val="21"/>
        </w:rPr>
        <w:t>附件6：相关方安全管理登记表</w:t>
      </w:r>
    </w:p>
    <w:p w14:paraId="3E8DE215">
      <w:pPr>
        <w:spacing w:line="360" w:lineRule="auto"/>
        <w:ind w:firstLine="560"/>
        <w:jc w:val="left"/>
        <w:rPr>
          <w:rFonts w:ascii="宋体" w:hAnsi="宋体"/>
          <w:szCs w:val="21"/>
        </w:rPr>
      </w:pPr>
      <w:r>
        <w:rPr>
          <w:rFonts w:hint="eastAsia" w:ascii="宋体" w:hAnsi="宋体"/>
          <w:szCs w:val="21"/>
        </w:rPr>
        <w:t>附件7：相关方安全管理协议（维修、施工、信息业务）</w:t>
      </w:r>
    </w:p>
    <w:p w14:paraId="190001DD">
      <w:pPr>
        <w:spacing w:line="360" w:lineRule="auto"/>
        <w:ind w:firstLine="560"/>
        <w:jc w:val="left"/>
        <w:rPr>
          <w:rFonts w:ascii="宋体" w:hAnsi="宋体"/>
          <w:szCs w:val="21"/>
        </w:rPr>
      </w:pPr>
      <w:r>
        <w:rPr>
          <w:rFonts w:hint="eastAsia" w:ascii="宋体" w:hAnsi="宋体"/>
          <w:szCs w:val="21"/>
        </w:rPr>
        <w:t>附件8：相关方环境保护管理协议</w:t>
      </w:r>
    </w:p>
    <w:p w14:paraId="5E2C04D6">
      <w:pPr>
        <w:spacing w:line="360" w:lineRule="auto"/>
        <w:ind w:firstLine="560"/>
        <w:jc w:val="left"/>
        <w:rPr>
          <w:rFonts w:ascii="宋体" w:hAnsi="宋体"/>
          <w:szCs w:val="21"/>
        </w:rPr>
      </w:pPr>
      <w:r>
        <w:rPr>
          <w:rFonts w:hint="eastAsia" w:ascii="宋体" w:hAnsi="宋体"/>
          <w:szCs w:val="21"/>
        </w:rPr>
        <w:t>附件9：相关方消防安全协议书</w:t>
      </w:r>
    </w:p>
    <w:p w14:paraId="3CBD2A1C">
      <w:pPr>
        <w:spacing w:line="360" w:lineRule="auto"/>
        <w:ind w:firstLine="560"/>
        <w:jc w:val="left"/>
        <w:rPr>
          <w:rFonts w:ascii="宋体" w:hAnsi="宋体"/>
          <w:szCs w:val="21"/>
        </w:rPr>
      </w:pPr>
      <w:r>
        <w:rPr>
          <w:rFonts w:hint="eastAsia" w:ascii="宋体" w:hAnsi="宋体"/>
          <w:szCs w:val="21"/>
        </w:rPr>
        <w:t xml:space="preserve"> </w:t>
      </w:r>
    </w:p>
    <w:p w14:paraId="2B9DA129">
      <w:pPr>
        <w:adjustRightInd w:val="0"/>
        <w:snapToGrid w:val="0"/>
        <w:spacing w:line="360" w:lineRule="auto"/>
        <w:ind w:firstLine="420" w:firstLineChars="200"/>
        <w:rPr>
          <w:rFonts w:ascii="宋体" w:hAnsi="宋体"/>
          <w:szCs w:val="21"/>
        </w:rPr>
      </w:pPr>
      <w:r>
        <w:rPr>
          <w:rFonts w:hint="eastAsia" w:ascii="宋体" w:hAnsi="宋体"/>
          <w:szCs w:val="21"/>
        </w:rPr>
        <w:t>甲方（盖章）：                          乙方（盖章）：</w:t>
      </w:r>
    </w:p>
    <w:p w14:paraId="62E7CF77">
      <w:pPr>
        <w:adjustRightInd w:val="0"/>
        <w:snapToGrid w:val="0"/>
        <w:spacing w:line="360" w:lineRule="auto"/>
        <w:ind w:firstLine="420" w:firstLineChars="200"/>
        <w:rPr>
          <w:rFonts w:ascii="宋体" w:hAnsi="宋体"/>
          <w:szCs w:val="21"/>
        </w:rPr>
      </w:pPr>
      <w:r>
        <w:rPr>
          <w:rFonts w:hint="eastAsia" w:ascii="宋体" w:hAnsi="宋体"/>
          <w:szCs w:val="21"/>
        </w:rPr>
        <w:t>代表签字：                             代表签字：</w:t>
      </w:r>
    </w:p>
    <w:p w14:paraId="553C2022">
      <w:pPr>
        <w:adjustRightInd w:val="0"/>
        <w:snapToGrid w:val="0"/>
        <w:spacing w:line="360" w:lineRule="auto"/>
        <w:rPr>
          <w:rFonts w:ascii="宋体" w:hAnsi="宋体"/>
          <w:szCs w:val="21"/>
        </w:rPr>
      </w:pPr>
      <w:r>
        <w:rPr>
          <w:rFonts w:hint="eastAsia" w:ascii="宋体" w:hAnsi="宋体"/>
          <w:szCs w:val="21"/>
        </w:rPr>
        <w:t xml:space="preserve">       年    月    日                       年    月    日</w:t>
      </w:r>
    </w:p>
    <w:p w14:paraId="31779D96">
      <w:pPr>
        <w:rPr>
          <w:rFonts w:ascii="宋体" w:hAnsi="宋体"/>
          <w:szCs w:val="21"/>
        </w:rPr>
      </w:pPr>
    </w:p>
    <w:p w14:paraId="26DD08E9">
      <w:pPr>
        <w:rPr>
          <w:rFonts w:ascii="宋体" w:hAnsi="宋体"/>
          <w:b/>
          <w:szCs w:val="21"/>
        </w:rPr>
      </w:pPr>
      <w:r>
        <w:rPr>
          <w:rFonts w:hint="eastAsia" w:ascii="宋体" w:hAnsi="宋体"/>
          <w:szCs w:val="21"/>
        </w:rPr>
        <w:br w:type="page"/>
      </w:r>
      <w:bookmarkEnd w:id="69"/>
    </w:p>
    <w:p w14:paraId="6BC397E1">
      <w:pPr>
        <w:spacing w:line="420" w:lineRule="exact"/>
        <w:rPr>
          <w:rFonts w:ascii="宋体" w:hAnsi="宋体"/>
          <w:szCs w:val="21"/>
        </w:rPr>
      </w:pPr>
      <w:r>
        <w:rPr>
          <w:rFonts w:hint="eastAsia" w:ascii="宋体" w:hAnsi="宋体"/>
          <w:b/>
          <w:szCs w:val="21"/>
        </w:rPr>
        <w:t>附件</w:t>
      </w:r>
      <w:r>
        <w:rPr>
          <w:rFonts w:hint="eastAsia" w:ascii="宋体" w:hAnsi="宋体"/>
          <w:b/>
          <w:szCs w:val="21"/>
          <w:lang w:val="en-US" w:eastAsia="zh-CN"/>
        </w:rPr>
        <w:t>1</w:t>
      </w:r>
      <w:r>
        <w:rPr>
          <w:rFonts w:hint="eastAsia" w:ascii="宋体" w:hAnsi="宋体"/>
          <w:b/>
          <w:szCs w:val="21"/>
        </w:rPr>
        <w:t>：</w:t>
      </w:r>
      <w:r>
        <w:rPr>
          <w:rFonts w:hint="eastAsia" w:ascii="宋体" w:hAnsi="宋体"/>
          <w:szCs w:val="21"/>
        </w:rPr>
        <w:t xml:space="preserve"> </w:t>
      </w:r>
    </w:p>
    <w:p w14:paraId="3E856245">
      <w:pPr>
        <w:spacing w:line="440" w:lineRule="exact"/>
        <w:jc w:val="center"/>
        <w:rPr>
          <w:rFonts w:ascii="宋体" w:hAnsi="宋体"/>
          <w:b/>
          <w:szCs w:val="21"/>
        </w:rPr>
      </w:pPr>
      <w:r>
        <w:rPr>
          <w:rFonts w:hint="eastAsia" w:ascii="宋体" w:hAnsi="宋体"/>
          <w:b/>
          <w:szCs w:val="21"/>
        </w:rPr>
        <w:t>廉政协议书</w:t>
      </w:r>
    </w:p>
    <w:p w14:paraId="47F5A091">
      <w:pPr>
        <w:spacing w:line="440" w:lineRule="exact"/>
        <w:ind w:firstLine="420" w:firstLineChars="200"/>
        <w:rPr>
          <w:rFonts w:ascii="宋体" w:hAnsi="宋体"/>
          <w:szCs w:val="21"/>
        </w:rPr>
      </w:pPr>
      <w:r>
        <w:rPr>
          <w:rFonts w:hint="eastAsia" w:ascii="宋体" w:hAnsi="宋体"/>
          <w:szCs w:val="21"/>
        </w:rPr>
        <w:t>甲方：</w:t>
      </w:r>
      <w:r>
        <w:rPr>
          <w:rFonts w:hint="eastAsia" w:ascii="宋体" w:hAnsi="宋体"/>
          <w:szCs w:val="21"/>
          <w:u w:val="single"/>
        </w:rPr>
        <w:t>温州金洋集装箱码头有限公司</w:t>
      </w:r>
      <w:r>
        <w:rPr>
          <w:rFonts w:hint="eastAsia" w:ascii="宋体" w:hAnsi="宋体"/>
          <w:szCs w:val="21"/>
        </w:rPr>
        <w:t>（以下简称甲方）</w:t>
      </w:r>
    </w:p>
    <w:p w14:paraId="766D07DC">
      <w:pPr>
        <w:spacing w:line="440" w:lineRule="exact"/>
        <w:ind w:firstLine="420" w:firstLineChars="200"/>
        <w:rPr>
          <w:rFonts w:ascii="宋体" w:hAnsi="宋体"/>
          <w:szCs w:val="21"/>
        </w:rPr>
      </w:pPr>
      <w:r>
        <w:rPr>
          <w:rFonts w:hint="eastAsia" w:ascii="宋体" w:hAnsi="宋体"/>
          <w:szCs w:val="21"/>
        </w:rPr>
        <w:t>乙方：</w:t>
      </w:r>
      <w:r>
        <w:rPr>
          <w:rFonts w:hint="eastAsia" w:ascii="宋体" w:hAnsi="宋体"/>
          <w:szCs w:val="21"/>
          <w:u w:val="single"/>
        </w:rPr>
        <w:t xml:space="preserve">                        </w:t>
      </w:r>
      <w:r>
        <w:rPr>
          <w:rFonts w:hint="eastAsia" w:ascii="宋体" w:hAnsi="宋体"/>
          <w:szCs w:val="21"/>
        </w:rPr>
        <w:t>（以下简称乙方）</w:t>
      </w:r>
    </w:p>
    <w:p w14:paraId="1DBF7AD8">
      <w:pPr>
        <w:spacing w:line="440" w:lineRule="exact"/>
        <w:ind w:firstLine="420" w:firstLineChars="200"/>
        <w:rPr>
          <w:rFonts w:ascii="宋体" w:hAnsi="宋体"/>
          <w:szCs w:val="21"/>
        </w:rPr>
      </w:pPr>
      <w:r>
        <w:rPr>
          <w:rFonts w:hint="eastAsia" w:ascii="宋体" w:hAnsi="宋体"/>
          <w:szCs w:val="21"/>
        </w:rPr>
        <w:t xml:space="preserve">为进一步完善监督制约机制，防止发生各种谋取不正当利益的违法违纪行为，促使双方工作人员在合同履行过程中廉洁自律、诚实守信，保护双方合法权益，根据国家有关法律法规及廉洁建设的规定，甲乙双方自愿签订本廉政协议书。 </w:t>
      </w:r>
    </w:p>
    <w:p w14:paraId="2C0F7687">
      <w:pPr>
        <w:spacing w:line="440" w:lineRule="exact"/>
        <w:ind w:firstLine="420" w:firstLineChars="200"/>
        <w:rPr>
          <w:rFonts w:ascii="宋体" w:hAnsi="宋体"/>
          <w:szCs w:val="21"/>
        </w:rPr>
      </w:pPr>
      <w:r>
        <w:rPr>
          <w:rFonts w:hint="eastAsia" w:ascii="宋体" w:hAnsi="宋体"/>
          <w:szCs w:val="21"/>
        </w:rPr>
        <w:t xml:space="preserve">第一条  甲乙双方的共同责任 </w:t>
      </w:r>
    </w:p>
    <w:p w14:paraId="47E46967">
      <w:pPr>
        <w:spacing w:line="440" w:lineRule="exact"/>
        <w:ind w:firstLine="420" w:firstLineChars="200"/>
        <w:rPr>
          <w:rFonts w:ascii="宋体" w:hAnsi="宋体"/>
          <w:szCs w:val="21"/>
        </w:rPr>
      </w:pPr>
      <w:r>
        <w:rPr>
          <w:rFonts w:hint="eastAsia" w:ascii="宋体" w:hAnsi="宋体"/>
          <w:szCs w:val="21"/>
        </w:rPr>
        <w:t xml:space="preserve">（一）严格遵守合同对应的经济业务活动的法律法规及廉政建设的规定。 </w:t>
      </w:r>
    </w:p>
    <w:p w14:paraId="3FAA28CE">
      <w:pPr>
        <w:spacing w:line="440" w:lineRule="exact"/>
        <w:ind w:firstLine="420" w:firstLineChars="200"/>
        <w:rPr>
          <w:rFonts w:ascii="宋体" w:hAnsi="宋体"/>
          <w:szCs w:val="21"/>
        </w:rPr>
      </w:pPr>
      <w:r>
        <w:rPr>
          <w:rFonts w:hint="eastAsia" w:ascii="宋体" w:hAnsi="宋体"/>
          <w:szCs w:val="21"/>
        </w:rPr>
        <w:t xml:space="preserve">（二）严格履行合同约定，杜绝违约行为的发生。 </w:t>
      </w:r>
    </w:p>
    <w:p w14:paraId="09626882">
      <w:pPr>
        <w:spacing w:line="440" w:lineRule="exact"/>
        <w:ind w:firstLine="420" w:firstLineChars="200"/>
        <w:rPr>
          <w:rFonts w:ascii="宋体" w:hAnsi="宋体"/>
          <w:szCs w:val="21"/>
        </w:rPr>
      </w:pPr>
      <w:r>
        <w:rPr>
          <w:rFonts w:hint="eastAsia" w:ascii="宋体" w:hAnsi="宋体"/>
          <w:szCs w:val="21"/>
        </w:rPr>
        <w:t xml:space="preserve">（三）建立健全的自我制约制度，开展廉洁教育，监督并认真查处违法违纪行为。 </w:t>
      </w:r>
    </w:p>
    <w:p w14:paraId="34BC2D22">
      <w:pPr>
        <w:spacing w:line="440" w:lineRule="exact"/>
        <w:ind w:firstLine="420" w:firstLineChars="200"/>
        <w:rPr>
          <w:rFonts w:ascii="宋体" w:hAnsi="宋体"/>
          <w:szCs w:val="21"/>
        </w:rPr>
      </w:pPr>
      <w:r>
        <w:rPr>
          <w:rFonts w:hint="eastAsia" w:ascii="宋体" w:hAnsi="宋体"/>
          <w:szCs w:val="21"/>
        </w:rPr>
        <w:t xml:space="preserve">（四）发现对方在经济业务活动中有违反本协议约定的违法违纪行为的，有及时提醒和督促对方纠正的权利和义务；情节严重的，有权向有关监察部门检举、揭发。 </w:t>
      </w:r>
    </w:p>
    <w:p w14:paraId="79E7E4ED">
      <w:pPr>
        <w:spacing w:line="440" w:lineRule="exact"/>
        <w:ind w:firstLine="420" w:firstLineChars="200"/>
        <w:rPr>
          <w:rFonts w:ascii="宋体" w:hAnsi="宋体"/>
          <w:szCs w:val="21"/>
        </w:rPr>
      </w:pPr>
      <w:r>
        <w:rPr>
          <w:rFonts w:hint="eastAsia" w:ascii="宋体" w:hAnsi="宋体"/>
          <w:szCs w:val="21"/>
        </w:rPr>
        <w:t xml:space="preserve">第二条  甲方的责任 </w:t>
      </w:r>
    </w:p>
    <w:p w14:paraId="183CD924">
      <w:pPr>
        <w:spacing w:line="440" w:lineRule="exact"/>
        <w:ind w:firstLine="420" w:firstLineChars="200"/>
        <w:rPr>
          <w:rFonts w:ascii="宋体" w:hAnsi="宋体"/>
          <w:szCs w:val="21"/>
        </w:rPr>
      </w:pPr>
      <w:r>
        <w:rPr>
          <w:rFonts w:hint="eastAsia" w:ascii="宋体" w:hAnsi="宋体"/>
          <w:szCs w:val="21"/>
        </w:rPr>
        <w:t xml:space="preserve">（一）甲方工作人员应保持与乙方正常工作交往，不得接受乙方的礼金、有价证券和贵重物品，不得在乙方报销任何应由个人支付的费用，不得以任何形式向乙方索要和收受回扣或变相收受贿赂。 </w:t>
      </w:r>
    </w:p>
    <w:p w14:paraId="12D95164">
      <w:pPr>
        <w:spacing w:line="440" w:lineRule="exact"/>
        <w:ind w:firstLine="420" w:firstLineChars="200"/>
        <w:rPr>
          <w:rFonts w:ascii="宋体" w:hAnsi="宋体"/>
          <w:szCs w:val="21"/>
        </w:rPr>
      </w:pPr>
      <w:r>
        <w:rPr>
          <w:rFonts w:hint="eastAsia" w:ascii="宋体" w:hAnsi="宋体"/>
          <w:szCs w:val="21"/>
        </w:rPr>
        <w:t xml:space="preserve">（二）甲方工作人员不得参加有可能影响公正从业的乙方宴请和娱乐、健身等消费活动。 </w:t>
      </w:r>
    </w:p>
    <w:p w14:paraId="6F0254B1">
      <w:pPr>
        <w:spacing w:line="440" w:lineRule="exact"/>
        <w:ind w:firstLine="420" w:firstLineChars="200"/>
        <w:rPr>
          <w:rFonts w:ascii="宋体" w:hAnsi="宋体"/>
          <w:szCs w:val="21"/>
        </w:rPr>
      </w:pPr>
      <w:r>
        <w:rPr>
          <w:rFonts w:hint="eastAsia" w:ascii="宋体" w:hAnsi="宋体"/>
          <w:szCs w:val="21"/>
        </w:rPr>
        <w:t xml:space="preserve">（三）甲方工作人员不得要求、暗示或者接收乙方为其住房装修、婚丧嫁娶、家属的工作安排以及出国等提供方便。 </w:t>
      </w:r>
    </w:p>
    <w:p w14:paraId="5A680EB3">
      <w:pPr>
        <w:spacing w:line="440" w:lineRule="exact"/>
        <w:ind w:firstLine="420" w:firstLineChars="200"/>
        <w:rPr>
          <w:rFonts w:ascii="宋体" w:hAnsi="宋体"/>
          <w:szCs w:val="21"/>
        </w:rPr>
      </w:pPr>
      <w:r>
        <w:rPr>
          <w:rFonts w:hint="eastAsia" w:ascii="宋体" w:hAnsi="宋体"/>
          <w:szCs w:val="21"/>
        </w:rPr>
        <w:t>（四）甲方工作人员不得向乙方介绍亲属或亲友从事与甲方工作有关的经济活动。</w:t>
      </w:r>
    </w:p>
    <w:p w14:paraId="4C98AD1B">
      <w:pPr>
        <w:spacing w:line="440" w:lineRule="exact"/>
        <w:ind w:firstLine="420" w:firstLineChars="200"/>
        <w:rPr>
          <w:rFonts w:ascii="宋体" w:hAnsi="宋体"/>
          <w:szCs w:val="21"/>
        </w:rPr>
      </w:pPr>
      <w:r>
        <w:rPr>
          <w:rFonts w:hint="eastAsia" w:ascii="宋体" w:hAnsi="宋体"/>
          <w:szCs w:val="21"/>
        </w:rPr>
        <w:t xml:space="preserve">第三条  乙方的责任 </w:t>
      </w:r>
    </w:p>
    <w:p w14:paraId="463F04E6">
      <w:pPr>
        <w:spacing w:line="440" w:lineRule="exact"/>
        <w:ind w:firstLine="420" w:firstLineChars="200"/>
        <w:rPr>
          <w:rFonts w:ascii="宋体" w:hAnsi="宋体"/>
          <w:szCs w:val="21"/>
        </w:rPr>
      </w:pPr>
      <w:r>
        <w:rPr>
          <w:rFonts w:hint="eastAsia" w:ascii="宋体" w:hAnsi="宋体"/>
          <w:szCs w:val="21"/>
        </w:rPr>
        <w:t xml:space="preserve">（一）乙方应当通过正常途径开展相关业务工作，不得向甲方工作人员及其关联亲属赠送礼金、有价证券和贵重物品等。 </w:t>
      </w:r>
    </w:p>
    <w:p w14:paraId="7200A19C">
      <w:pPr>
        <w:spacing w:line="440" w:lineRule="exact"/>
        <w:ind w:firstLine="420" w:firstLineChars="200"/>
        <w:rPr>
          <w:rFonts w:ascii="宋体" w:hAnsi="宋体"/>
          <w:szCs w:val="21"/>
        </w:rPr>
      </w:pPr>
      <w:r>
        <w:rPr>
          <w:rFonts w:hint="eastAsia" w:ascii="宋体" w:hAnsi="宋体"/>
          <w:szCs w:val="21"/>
        </w:rPr>
        <w:t xml:space="preserve">（二）乙方不得为谋取私利擅自与甲方工作人员及第三方单位就有关工作问题进行私下商谈或者达成默契。 </w:t>
      </w:r>
    </w:p>
    <w:p w14:paraId="3365194B">
      <w:pPr>
        <w:spacing w:line="440" w:lineRule="exact"/>
        <w:ind w:firstLine="420" w:firstLineChars="200"/>
        <w:rPr>
          <w:rFonts w:ascii="宋体" w:hAnsi="宋体"/>
          <w:szCs w:val="21"/>
        </w:rPr>
      </w:pPr>
      <w:r>
        <w:rPr>
          <w:rFonts w:hint="eastAsia" w:ascii="宋体" w:hAnsi="宋体"/>
          <w:szCs w:val="21"/>
        </w:rPr>
        <w:t xml:space="preserve">（三）乙方不得以洽谈业务、签订合同为借口，邀请甲方工作人员外出旅游和进入营业性高消费娱乐场所。 </w:t>
      </w:r>
    </w:p>
    <w:p w14:paraId="3744A735">
      <w:pPr>
        <w:spacing w:line="440" w:lineRule="exact"/>
        <w:ind w:firstLine="420" w:firstLineChars="200"/>
        <w:rPr>
          <w:rFonts w:ascii="宋体" w:hAnsi="宋体"/>
          <w:szCs w:val="21"/>
        </w:rPr>
      </w:pPr>
      <w:r>
        <w:rPr>
          <w:rFonts w:hint="eastAsia" w:ascii="宋体" w:hAnsi="宋体"/>
          <w:szCs w:val="21"/>
        </w:rPr>
        <w:t xml:space="preserve">（四）乙方不得为甲方工作人员购置或者提供通信、交通工具、家电、高档办公用品等。  </w:t>
      </w:r>
    </w:p>
    <w:p w14:paraId="3992296E">
      <w:pPr>
        <w:spacing w:line="440" w:lineRule="exact"/>
        <w:ind w:firstLine="420" w:firstLineChars="200"/>
        <w:rPr>
          <w:rFonts w:ascii="宋体" w:hAnsi="宋体"/>
          <w:szCs w:val="21"/>
        </w:rPr>
      </w:pPr>
      <w:r>
        <w:rPr>
          <w:rFonts w:hint="eastAsia" w:ascii="宋体" w:hAnsi="宋体"/>
          <w:szCs w:val="21"/>
        </w:rPr>
        <w:t>（五）乙方如发现甲方工作人员有违反上述规定者，应向甲方领导或者甲方监察部门举报，甲方不得找借口对乙方进行报复。</w:t>
      </w:r>
    </w:p>
    <w:p w14:paraId="06F21B52">
      <w:pPr>
        <w:spacing w:line="440" w:lineRule="exact"/>
        <w:ind w:firstLine="420" w:firstLineChars="200"/>
        <w:rPr>
          <w:rFonts w:ascii="宋体" w:hAnsi="宋体"/>
          <w:szCs w:val="21"/>
        </w:rPr>
      </w:pPr>
      <w:r>
        <w:rPr>
          <w:rFonts w:hint="eastAsia" w:ascii="宋体" w:hAnsi="宋体"/>
          <w:szCs w:val="21"/>
        </w:rPr>
        <w:t>第四条 违约责任</w:t>
      </w:r>
    </w:p>
    <w:p w14:paraId="7EC1D81C">
      <w:pPr>
        <w:spacing w:line="440" w:lineRule="exact"/>
        <w:ind w:firstLine="420" w:firstLineChars="200"/>
        <w:rPr>
          <w:rFonts w:ascii="宋体" w:hAnsi="宋体"/>
          <w:szCs w:val="21"/>
        </w:rPr>
      </w:pPr>
      <w:r>
        <w:rPr>
          <w:rFonts w:hint="eastAsia" w:ascii="宋体" w:hAnsi="宋体"/>
          <w:szCs w:val="21"/>
        </w:rPr>
        <w:t>（一）乙方违反本廉洁协议第三条规定的，一经查实，甲方有权立即解除主合同，停止一切合作，并由乙方承担解约的全部损失；涉嫌犯罪的，移送司法机关依法追究刑事责任。</w:t>
      </w:r>
    </w:p>
    <w:p w14:paraId="36588401">
      <w:pPr>
        <w:spacing w:line="440" w:lineRule="exact"/>
        <w:ind w:firstLine="420" w:firstLineChars="200"/>
        <w:rPr>
          <w:rFonts w:ascii="宋体" w:hAnsi="宋体"/>
          <w:szCs w:val="21"/>
        </w:rPr>
      </w:pPr>
      <w:r>
        <w:rPr>
          <w:rFonts w:hint="eastAsia" w:ascii="宋体" w:hAnsi="宋体"/>
          <w:szCs w:val="21"/>
        </w:rPr>
        <w:t xml:space="preserve">（二）乙方发生两次以上违反廉洁协议约定内容，甲方有权将乙方列入黑名单，禁止3-5年内或终身进入甲方市场；给甲方造成经济损失、影响较大的，甲方有权立即单方面终止合同，且甲方不承担任何违约责任。 </w:t>
      </w:r>
    </w:p>
    <w:p w14:paraId="47D11A47">
      <w:pPr>
        <w:spacing w:line="440" w:lineRule="exact"/>
        <w:ind w:firstLine="420" w:firstLineChars="200"/>
        <w:rPr>
          <w:rFonts w:ascii="宋体" w:hAnsi="宋体"/>
          <w:szCs w:val="21"/>
        </w:rPr>
      </w:pPr>
      <w:r>
        <w:rPr>
          <w:rFonts w:hint="eastAsia" w:ascii="宋体" w:hAnsi="宋体"/>
          <w:szCs w:val="21"/>
        </w:rPr>
        <w:t>第五条  其他</w:t>
      </w:r>
    </w:p>
    <w:p w14:paraId="6B5636FA">
      <w:pPr>
        <w:spacing w:line="440" w:lineRule="exact"/>
        <w:ind w:firstLine="420" w:firstLineChars="200"/>
        <w:rPr>
          <w:rFonts w:ascii="宋体" w:hAnsi="宋体"/>
          <w:szCs w:val="21"/>
        </w:rPr>
      </w:pPr>
      <w:r>
        <w:rPr>
          <w:rFonts w:hint="eastAsia" w:ascii="宋体" w:hAnsi="宋体"/>
          <w:szCs w:val="21"/>
        </w:rPr>
        <w:t>（一）本协议不影响乙方按主合同其它条款承担相关责任。</w:t>
      </w:r>
    </w:p>
    <w:p w14:paraId="2B0E49B7">
      <w:pPr>
        <w:spacing w:line="440" w:lineRule="exact"/>
        <w:ind w:firstLine="420" w:firstLineChars="200"/>
        <w:rPr>
          <w:rFonts w:ascii="宋体" w:hAnsi="宋体"/>
          <w:szCs w:val="21"/>
        </w:rPr>
      </w:pPr>
      <w:r>
        <w:rPr>
          <w:rFonts w:hint="eastAsia" w:ascii="宋体" w:hAnsi="宋体"/>
          <w:szCs w:val="21"/>
        </w:rPr>
        <w:t>（二）此协议书的未尽事宜或因国家及上级有关法规发生变更，甲、乙双方可共同协商修改协议内容。</w:t>
      </w:r>
    </w:p>
    <w:p w14:paraId="6D9BC4D0">
      <w:pPr>
        <w:spacing w:line="360" w:lineRule="auto"/>
        <w:ind w:firstLine="420" w:firstLineChars="200"/>
        <w:rPr>
          <w:rFonts w:ascii="宋体" w:hAnsi="宋体" w:cs="仿宋_GB2312"/>
          <w:szCs w:val="21"/>
        </w:rPr>
      </w:pPr>
      <w:r>
        <w:rPr>
          <w:rFonts w:hint="eastAsia" w:ascii="宋体" w:hAnsi="宋体"/>
          <w:szCs w:val="21"/>
        </w:rPr>
        <w:t>（三）</w:t>
      </w:r>
      <w:r>
        <w:rPr>
          <w:rFonts w:hint="eastAsia" w:ascii="宋体" w:hAnsi="宋体" w:cs="仿宋_GB2312"/>
          <w:szCs w:val="21"/>
        </w:rPr>
        <w:t>对于因本合同产生的或与本合同相关的任何争议，合同当事方应当友好协商解决，协商不成的，任何一方有权向甲方所在地人民法院提起诉讼解决。</w:t>
      </w:r>
    </w:p>
    <w:p w14:paraId="66FA6898">
      <w:pPr>
        <w:spacing w:line="440" w:lineRule="exact"/>
        <w:ind w:firstLine="420" w:firstLineChars="200"/>
        <w:rPr>
          <w:rFonts w:ascii="宋体" w:hAnsi="宋体"/>
          <w:szCs w:val="21"/>
        </w:rPr>
      </w:pPr>
      <w:r>
        <w:rPr>
          <w:rFonts w:hint="eastAsia" w:ascii="宋体" w:hAnsi="宋体"/>
          <w:szCs w:val="21"/>
        </w:rPr>
        <w:t>（四）本协议一式两份，双方各执一份，自双方盖章并签字之日起生效，有效期与合同一致。本协议作为双方签订的主合同的附件，与主合同具有同等法律效力，在主合同有效期内不可撤销，主合同终止，此协议自动终止。</w:t>
      </w:r>
    </w:p>
    <w:p w14:paraId="48DC6677">
      <w:pPr>
        <w:spacing w:line="440" w:lineRule="exact"/>
        <w:ind w:firstLine="420" w:firstLineChars="200"/>
        <w:rPr>
          <w:rFonts w:ascii="宋体" w:hAnsi="宋体"/>
          <w:szCs w:val="21"/>
        </w:rPr>
      </w:pPr>
      <w:r>
        <w:rPr>
          <w:rFonts w:hint="eastAsia" w:ascii="宋体" w:hAnsi="宋体"/>
          <w:szCs w:val="21"/>
        </w:rPr>
        <w:t xml:space="preserve"> </w:t>
      </w:r>
    </w:p>
    <w:p w14:paraId="65955C3F">
      <w:pPr>
        <w:spacing w:line="440" w:lineRule="exact"/>
        <w:ind w:firstLine="420" w:firstLineChars="200"/>
        <w:rPr>
          <w:rFonts w:ascii="宋体" w:hAnsi="宋体"/>
          <w:szCs w:val="21"/>
        </w:rPr>
      </w:pPr>
      <w:r>
        <w:rPr>
          <w:rFonts w:hint="eastAsia" w:ascii="宋体" w:hAnsi="宋体"/>
          <w:szCs w:val="21"/>
        </w:rPr>
        <w:t>甲方：（盖章）                 乙方：（盖章）</w:t>
      </w:r>
    </w:p>
    <w:p w14:paraId="2A496D54">
      <w:pPr>
        <w:spacing w:line="440" w:lineRule="exact"/>
        <w:ind w:firstLine="420" w:firstLineChars="200"/>
        <w:rPr>
          <w:rFonts w:ascii="宋体" w:hAnsi="宋体"/>
          <w:szCs w:val="21"/>
        </w:rPr>
      </w:pPr>
      <w:r>
        <w:rPr>
          <w:rFonts w:hint="eastAsia" w:ascii="宋体" w:hAnsi="宋体"/>
          <w:szCs w:val="21"/>
        </w:rPr>
        <w:t xml:space="preserve">温州金洋集装箱码头有限公司               </w:t>
      </w:r>
    </w:p>
    <w:p w14:paraId="533974E2">
      <w:pPr>
        <w:spacing w:line="440" w:lineRule="exact"/>
        <w:ind w:firstLine="420" w:firstLineChars="200"/>
        <w:rPr>
          <w:rFonts w:ascii="宋体" w:hAnsi="宋体"/>
          <w:szCs w:val="21"/>
        </w:rPr>
      </w:pPr>
      <w:r>
        <w:rPr>
          <w:rFonts w:hint="eastAsia" w:ascii="宋体" w:hAnsi="宋体"/>
          <w:szCs w:val="21"/>
        </w:rPr>
        <w:t xml:space="preserve">法定代表人（或代理人）签字：      法定代表人（或代理人）签字： </w:t>
      </w:r>
    </w:p>
    <w:p w14:paraId="16949DE2">
      <w:pPr>
        <w:spacing w:line="440" w:lineRule="exact"/>
        <w:ind w:firstLine="420" w:firstLineChars="200"/>
        <w:rPr>
          <w:rFonts w:ascii="宋体" w:hAnsi="宋体"/>
          <w:szCs w:val="21"/>
        </w:rPr>
      </w:pPr>
      <w:r>
        <w:rPr>
          <w:rFonts w:hint="eastAsia" w:ascii="宋体" w:hAnsi="宋体"/>
          <w:szCs w:val="21"/>
        </w:rPr>
        <w:t xml:space="preserve"> </w:t>
      </w:r>
    </w:p>
    <w:p w14:paraId="5F4F7E02">
      <w:pPr>
        <w:pStyle w:val="81"/>
        <w:ind w:firstLine="210"/>
        <w:rPr>
          <w:sz w:val="21"/>
          <w:szCs w:val="21"/>
        </w:rPr>
      </w:pPr>
      <w:r>
        <w:rPr>
          <w:sz w:val="21"/>
          <w:szCs w:val="21"/>
        </w:rPr>
        <w:t xml:space="preserve"> </w:t>
      </w:r>
    </w:p>
    <w:p w14:paraId="53725DB8">
      <w:pPr>
        <w:adjustRightInd w:val="0"/>
        <w:snapToGrid w:val="0"/>
        <w:spacing w:line="440" w:lineRule="exact"/>
        <w:ind w:firstLine="420" w:firstLineChars="200"/>
        <w:rPr>
          <w:rFonts w:ascii="宋体" w:hAnsi="宋体"/>
          <w:szCs w:val="21"/>
        </w:rPr>
      </w:pPr>
      <w:r>
        <w:rPr>
          <w:rFonts w:hint="eastAsia" w:ascii="宋体" w:hAnsi="宋体"/>
          <w:szCs w:val="21"/>
        </w:rPr>
        <w:t xml:space="preserve">签订日期：20 年  月  日       </w:t>
      </w:r>
    </w:p>
    <w:p w14:paraId="5FEAA83A">
      <w:pPr>
        <w:pStyle w:val="8"/>
        <w:ind w:firstLine="200"/>
        <w:rPr>
          <w:rFonts w:ascii="宋体" w:hAnsi="宋体"/>
          <w:szCs w:val="21"/>
        </w:rPr>
      </w:pPr>
      <w:r>
        <w:rPr>
          <w:rFonts w:hint="eastAsia" w:ascii="宋体" w:hAnsi="宋体"/>
          <w:szCs w:val="21"/>
        </w:rPr>
        <w:t xml:space="preserve"> </w:t>
      </w:r>
    </w:p>
    <w:p w14:paraId="6EF474BA">
      <w:pPr>
        <w:pStyle w:val="10"/>
      </w:pPr>
    </w:p>
    <w:p w14:paraId="0EAABD05"/>
    <w:p w14:paraId="02904FBC">
      <w:pPr>
        <w:pStyle w:val="8"/>
      </w:pPr>
    </w:p>
    <w:p w14:paraId="0B1CBFD0">
      <w:pPr>
        <w:rPr>
          <w:rFonts w:ascii="宋体" w:hAnsi="宋体"/>
          <w:b/>
          <w:szCs w:val="21"/>
        </w:rPr>
      </w:pPr>
      <w:r>
        <w:rPr>
          <w:rFonts w:hint="eastAsia" w:ascii="宋体" w:hAnsi="宋体"/>
          <w:b/>
          <w:szCs w:val="21"/>
        </w:rPr>
        <w:br w:type="page"/>
      </w:r>
    </w:p>
    <w:p w14:paraId="080DEB3D">
      <w:pPr>
        <w:spacing w:line="420" w:lineRule="exact"/>
        <w:rPr>
          <w:rFonts w:ascii="宋体" w:hAnsi="宋体"/>
          <w:b/>
          <w:szCs w:val="21"/>
        </w:rPr>
      </w:pPr>
      <w:r>
        <w:rPr>
          <w:rFonts w:hint="eastAsia" w:ascii="宋体" w:hAnsi="宋体"/>
          <w:b/>
          <w:szCs w:val="21"/>
        </w:rPr>
        <w:t>附件</w:t>
      </w:r>
      <w:r>
        <w:rPr>
          <w:rFonts w:hint="eastAsia" w:ascii="宋体" w:hAnsi="宋体"/>
          <w:b/>
          <w:szCs w:val="21"/>
          <w:lang w:val="en-US" w:eastAsia="zh-CN"/>
        </w:rPr>
        <w:t>2</w:t>
      </w:r>
      <w:r>
        <w:rPr>
          <w:rFonts w:hint="eastAsia" w:ascii="宋体" w:hAnsi="宋体"/>
          <w:b/>
          <w:szCs w:val="21"/>
        </w:rPr>
        <w:t>：</w:t>
      </w:r>
    </w:p>
    <w:p w14:paraId="46CEA60D">
      <w:pPr>
        <w:spacing w:line="640" w:lineRule="exact"/>
        <w:jc w:val="center"/>
        <w:rPr>
          <w:rFonts w:ascii="方正小标宋简体" w:hAnsi="等线" w:eastAsia="方正小标宋简体"/>
          <w:szCs w:val="21"/>
        </w:rPr>
      </w:pPr>
      <w:r>
        <w:rPr>
          <w:rFonts w:hint="eastAsia" w:ascii="方正小标宋简体" w:hAnsi="等线" w:eastAsia="方正小标宋简体"/>
          <w:szCs w:val="21"/>
        </w:rPr>
        <w:t>合作伙伴合规承诺书</w:t>
      </w:r>
    </w:p>
    <w:p w14:paraId="24565C85">
      <w:pPr>
        <w:spacing w:line="440" w:lineRule="exact"/>
        <w:ind w:firstLine="420" w:firstLineChars="200"/>
        <w:rPr>
          <w:rFonts w:ascii="仿宋" w:hAnsi="仿宋" w:eastAsia="仿宋"/>
          <w:color w:val="000000"/>
          <w:kern w:val="0"/>
          <w:szCs w:val="21"/>
        </w:rPr>
      </w:pPr>
      <w:r>
        <w:rPr>
          <w:rFonts w:hint="eastAsia" w:ascii="仿宋" w:hAnsi="仿宋" w:eastAsia="仿宋"/>
          <w:color w:val="000000"/>
          <w:szCs w:val="21"/>
        </w:rPr>
        <w:t>为满足</w:t>
      </w:r>
      <w:r>
        <w:rPr>
          <w:rFonts w:hint="eastAsia" w:ascii="仿宋" w:hAnsi="仿宋" w:eastAsia="仿宋"/>
          <w:color w:val="000000"/>
          <w:szCs w:val="21"/>
          <w:u w:val="single"/>
        </w:rPr>
        <w:t>温州金洋集装箱码头有限公司</w:t>
      </w:r>
      <w:r>
        <w:rPr>
          <w:rFonts w:hint="eastAsia" w:ascii="仿宋" w:hAnsi="仿宋" w:eastAsia="仿宋"/>
          <w:color w:val="000000"/>
          <w:kern w:val="0"/>
          <w:szCs w:val="21"/>
        </w:rPr>
        <w:t>合规管理要求，</w:t>
      </w:r>
      <w:r>
        <w:rPr>
          <w:rFonts w:hint="eastAsia" w:ascii="仿宋" w:hAnsi="仿宋" w:eastAsia="仿宋"/>
          <w:color w:val="000000"/>
          <w:szCs w:val="21"/>
        </w:rPr>
        <w:t>规范本公司</w:t>
      </w:r>
      <w:r>
        <w:rPr>
          <w:rFonts w:hint="eastAsia" w:ascii="仿宋" w:hAnsi="仿宋" w:eastAsia="仿宋"/>
          <w:color w:val="000000"/>
          <w:kern w:val="0"/>
          <w:szCs w:val="21"/>
        </w:rPr>
        <w:t>市场交易行为，促进公平、公正交易，本公司特作出以下承诺：</w:t>
      </w:r>
    </w:p>
    <w:p w14:paraId="302D3E59">
      <w:pPr>
        <w:spacing w:line="440" w:lineRule="exact"/>
        <w:ind w:firstLine="420" w:firstLineChars="200"/>
        <w:rPr>
          <w:rFonts w:ascii="仿宋" w:hAnsi="仿宋" w:eastAsia="仿宋"/>
          <w:color w:val="000000"/>
          <w:szCs w:val="21"/>
        </w:rPr>
      </w:pPr>
      <w:r>
        <w:rPr>
          <w:rFonts w:hint="eastAsia" w:ascii="仿宋" w:hAnsi="仿宋" w:eastAsia="仿宋"/>
          <w:color w:val="000000"/>
          <w:szCs w:val="21"/>
        </w:rPr>
        <w:t>1.本公司理解</w:t>
      </w:r>
      <w:r>
        <w:rPr>
          <w:rFonts w:hint="eastAsia" w:ascii="仿宋" w:hAnsi="仿宋" w:eastAsia="仿宋"/>
          <w:color w:val="000000"/>
          <w:szCs w:val="21"/>
          <w:u w:val="single"/>
        </w:rPr>
        <w:t>温州金洋集装箱码头有限公司</w:t>
      </w:r>
      <w:r>
        <w:rPr>
          <w:rFonts w:hint="eastAsia" w:ascii="仿宋" w:hAnsi="仿宋" w:eastAsia="仿宋"/>
          <w:color w:val="000000"/>
          <w:szCs w:val="21"/>
        </w:rPr>
        <w:t>合规管理需求，在合作范围内遵守</w:t>
      </w:r>
      <w:r>
        <w:rPr>
          <w:rFonts w:hint="eastAsia" w:ascii="仿宋" w:hAnsi="仿宋" w:eastAsia="仿宋"/>
          <w:color w:val="000000"/>
          <w:szCs w:val="21"/>
          <w:u w:val="single"/>
        </w:rPr>
        <w:t>温州金洋集装箱码头有限公司</w:t>
      </w:r>
      <w:r>
        <w:rPr>
          <w:rFonts w:hint="eastAsia" w:ascii="仿宋" w:hAnsi="仿宋" w:eastAsia="仿宋"/>
          <w:color w:val="000000"/>
          <w:szCs w:val="21"/>
        </w:rPr>
        <w:t>对第三方的合规管理要求。</w:t>
      </w:r>
    </w:p>
    <w:p w14:paraId="1E31E899">
      <w:pPr>
        <w:spacing w:line="440" w:lineRule="exact"/>
        <w:ind w:firstLine="420" w:firstLineChars="200"/>
        <w:rPr>
          <w:rFonts w:ascii="仿宋" w:hAnsi="仿宋" w:eastAsia="仿宋"/>
          <w:color w:val="000000"/>
          <w:szCs w:val="21"/>
        </w:rPr>
      </w:pPr>
      <w:r>
        <w:rPr>
          <w:rFonts w:hint="eastAsia" w:ascii="仿宋" w:hAnsi="仿宋" w:eastAsia="仿宋"/>
          <w:color w:val="000000"/>
          <w:szCs w:val="21"/>
        </w:rPr>
        <w:t>2.本公司具有合同订立的主体资格，具有良好的资信和履约能力，能够有效履行合同义务。</w:t>
      </w:r>
    </w:p>
    <w:p w14:paraId="1345BF67">
      <w:pPr>
        <w:spacing w:line="440" w:lineRule="exact"/>
        <w:ind w:firstLine="420" w:firstLineChars="200"/>
        <w:rPr>
          <w:rFonts w:ascii="仿宋" w:hAnsi="仿宋" w:eastAsia="仿宋"/>
          <w:color w:val="000000"/>
          <w:szCs w:val="21"/>
        </w:rPr>
      </w:pPr>
      <w:r>
        <w:rPr>
          <w:rFonts w:hint="eastAsia" w:ascii="仿宋" w:hAnsi="仿宋" w:eastAsia="仿宋"/>
          <w:color w:val="000000"/>
          <w:szCs w:val="21"/>
        </w:rPr>
        <w:t>3.本公司严格遵守国家法律法规，恪守商业道德和职业道德规范，不从事并抵制任何不廉洁行为，严格履行以下合规义务：</w:t>
      </w:r>
    </w:p>
    <w:p w14:paraId="694A6E07">
      <w:pPr>
        <w:spacing w:line="440" w:lineRule="exact"/>
        <w:ind w:firstLine="420" w:firstLineChars="200"/>
        <w:rPr>
          <w:rFonts w:ascii="仿宋" w:hAnsi="仿宋" w:eastAsia="仿宋"/>
          <w:color w:val="000000"/>
          <w:szCs w:val="21"/>
        </w:rPr>
      </w:pPr>
      <w:r>
        <w:rPr>
          <w:rFonts w:hint="eastAsia" w:ascii="仿宋" w:hAnsi="仿宋" w:eastAsia="仿宋"/>
          <w:color w:val="000000"/>
          <w:szCs w:val="21"/>
        </w:rPr>
        <w:t>（一）本公司员工严格遵守《中华人民共和国反不正当竞争法》等有关商业贿赂行为的禁止性规定，坚决抵制商业贿赂。</w:t>
      </w:r>
    </w:p>
    <w:p w14:paraId="53276A42">
      <w:pPr>
        <w:spacing w:line="440" w:lineRule="exact"/>
        <w:ind w:firstLine="420" w:firstLineChars="200"/>
        <w:rPr>
          <w:rFonts w:ascii="仿宋" w:hAnsi="仿宋" w:eastAsia="仿宋"/>
          <w:color w:val="000000"/>
          <w:szCs w:val="21"/>
        </w:rPr>
      </w:pPr>
      <w:r>
        <w:rPr>
          <w:rFonts w:hint="eastAsia" w:ascii="仿宋" w:hAnsi="仿宋" w:eastAsia="仿宋"/>
          <w:color w:val="000000"/>
          <w:szCs w:val="21"/>
        </w:rPr>
        <w:t>（二）本公司员工不得给予</w:t>
      </w:r>
      <w:r>
        <w:rPr>
          <w:rFonts w:hint="eastAsia" w:ascii="仿宋" w:hAnsi="仿宋" w:eastAsia="仿宋"/>
          <w:color w:val="000000"/>
          <w:szCs w:val="21"/>
          <w:u w:val="single"/>
        </w:rPr>
        <w:t>温州金洋集装箱码头有限公司</w:t>
      </w:r>
      <w:r>
        <w:rPr>
          <w:rFonts w:hint="eastAsia" w:ascii="仿宋" w:hAnsi="仿宋" w:eastAsia="仿宋"/>
          <w:color w:val="000000"/>
          <w:szCs w:val="21"/>
        </w:rPr>
        <w:t>及相关单位或个人的任何不正当馈赠。</w:t>
      </w:r>
    </w:p>
    <w:p w14:paraId="5031B4E9">
      <w:pPr>
        <w:spacing w:line="440" w:lineRule="exact"/>
        <w:ind w:firstLine="420" w:firstLineChars="200"/>
        <w:rPr>
          <w:rFonts w:ascii="仿宋" w:hAnsi="仿宋" w:eastAsia="仿宋"/>
          <w:color w:val="000000"/>
          <w:szCs w:val="21"/>
        </w:rPr>
      </w:pPr>
      <w:r>
        <w:rPr>
          <w:rFonts w:hint="eastAsia" w:ascii="仿宋" w:hAnsi="仿宋" w:eastAsia="仿宋"/>
          <w:color w:val="000000"/>
          <w:szCs w:val="21"/>
        </w:rPr>
        <w:t>（三）本公司员工不得接受</w:t>
      </w:r>
      <w:r>
        <w:rPr>
          <w:rFonts w:hint="eastAsia" w:ascii="仿宋" w:hAnsi="仿宋" w:eastAsia="仿宋"/>
          <w:color w:val="000000"/>
          <w:szCs w:val="21"/>
          <w:u w:val="single"/>
        </w:rPr>
        <w:t>温州金洋集装箱码头有限公司</w:t>
      </w:r>
      <w:r>
        <w:rPr>
          <w:rFonts w:hint="eastAsia" w:ascii="仿宋" w:hAnsi="仿宋" w:eastAsia="仿宋"/>
          <w:color w:val="000000"/>
          <w:szCs w:val="21"/>
        </w:rPr>
        <w:t>及相关单位或个人的任何不正当馈赠。</w:t>
      </w:r>
    </w:p>
    <w:p w14:paraId="10136AA2">
      <w:pPr>
        <w:spacing w:line="440" w:lineRule="exact"/>
        <w:ind w:firstLine="420" w:firstLineChars="200"/>
        <w:rPr>
          <w:rFonts w:ascii="仿宋" w:hAnsi="仿宋" w:eastAsia="仿宋"/>
          <w:color w:val="000000"/>
          <w:szCs w:val="21"/>
        </w:rPr>
      </w:pPr>
      <w:r>
        <w:rPr>
          <w:rFonts w:hint="eastAsia" w:ascii="仿宋" w:hAnsi="仿宋" w:eastAsia="仿宋"/>
          <w:color w:val="000000"/>
          <w:szCs w:val="21"/>
        </w:rPr>
        <w:t>（四）本公司员工不得参加</w:t>
      </w:r>
      <w:r>
        <w:rPr>
          <w:rFonts w:hint="eastAsia" w:ascii="仿宋" w:hAnsi="仿宋" w:eastAsia="仿宋"/>
          <w:color w:val="000000"/>
          <w:szCs w:val="21"/>
          <w:u w:val="single"/>
        </w:rPr>
        <w:t>温州金洋集装箱码头有限公司</w:t>
      </w:r>
      <w:r>
        <w:rPr>
          <w:rFonts w:hint="eastAsia" w:ascii="仿宋" w:hAnsi="仿宋" w:eastAsia="仿宋"/>
          <w:color w:val="000000"/>
          <w:szCs w:val="21"/>
        </w:rPr>
        <w:t>及有关单位安排的可能影响公正执行公务的宴请、旅游、考察等活动。</w:t>
      </w:r>
    </w:p>
    <w:p w14:paraId="3E27E409">
      <w:pPr>
        <w:spacing w:line="440" w:lineRule="exact"/>
        <w:ind w:firstLine="420" w:firstLineChars="200"/>
        <w:rPr>
          <w:rFonts w:ascii="仿宋" w:hAnsi="仿宋" w:eastAsia="仿宋"/>
          <w:color w:val="000000"/>
          <w:szCs w:val="21"/>
        </w:rPr>
      </w:pPr>
      <w:r>
        <w:rPr>
          <w:rFonts w:hint="eastAsia" w:ascii="仿宋" w:hAnsi="仿宋" w:eastAsia="仿宋"/>
          <w:color w:val="000000"/>
          <w:szCs w:val="21"/>
        </w:rPr>
        <w:t>（五）本公司员工不得从事其他可能影响廉洁商业的行为。</w:t>
      </w:r>
    </w:p>
    <w:p w14:paraId="77C76CE8">
      <w:pPr>
        <w:spacing w:line="440" w:lineRule="exact"/>
        <w:ind w:firstLine="420" w:firstLineChars="200"/>
        <w:rPr>
          <w:rFonts w:ascii="仿宋" w:hAnsi="仿宋" w:eastAsia="仿宋"/>
          <w:color w:val="000000"/>
          <w:szCs w:val="21"/>
        </w:rPr>
      </w:pPr>
      <w:r>
        <w:rPr>
          <w:rFonts w:hint="eastAsia" w:ascii="仿宋" w:hAnsi="仿宋" w:eastAsia="仿宋"/>
          <w:color w:val="000000"/>
          <w:szCs w:val="21"/>
        </w:rPr>
        <w:t>4.本公司坚持诚信商业行为，依法依约保守</w:t>
      </w:r>
      <w:r>
        <w:rPr>
          <w:rFonts w:hint="eastAsia" w:ascii="仿宋" w:hAnsi="仿宋" w:eastAsia="仿宋"/>
          <w:color w:val="000000"/>
          <w:szCs w:val="21"/>
          <w:u w:val="single"/>
        </w:rPr>
        <w:t>温州金洋集装箱码头有限公司</w:t>
      </w:r>
      <w:r>
        <w:rPr>
          <w:rFonts w:hint="eastAsia" w:ascii="仿宋" w:hAnsi="仿宋" w:eastAsia="仿宋"/>
          <w:color w:val="000000"/>
          <w:szCs w:val="21"/>
        </w:rPr>
        <w:t>的商业秘密。</w:t>
      </w:r>
    </w:p>
    <w:p w14:paraId="6A93A6C6">
      <w:pPr>
        <w:spacing w:line="440" w:lineRule="exact"/>
        <w:ind w:firstLine="420" w:firstLineChars="200"/>
        <w:rPr>
          <w:rFonts w:ascii="仿宋" w:hAnsi="仿宋" w:eastAsia="仿宋"/>
          <w:color w:val="000000"/>
          <w:szCs w:val="21"/>
        </w:rPr>
      </w:pPr>
      <w:r>
        <w:rPr>
          <w:rFonts w:hint="eastAsia" w:ascii="仿宋" w:hAnsi="仿宋" w:eastAsia="仿宋"/>
          <w:color w:val="000000"/>
          <w:szCs w:val="21"/>
        </w:rPr>
        <w:t>5.本公司严守缔约精神，全面履行合同义务，不擅自变更、中止以及不履行合同，发生履约突发事件时将当及时通知</w:t>
      </w:r>
      <w:r>
        <w:rPr>
          <w:rFonts w:hint="eastAsia" w:ascii="仿宋" w:hAnsi="仿宋" w:eastAsia="仿宋"/>
          <w:color w:val="000000"/>
          <w:szCs w:val="21"/>
          <w:u w:val="single"/>
        </w:rPr>
        <w:t>温州金洋集装箱码头有限公司</w:t>
      </w:r>
      <w:r>
        <w:rPr>
          <w:rFonts w:hint="eastAsia" w:ascii="仿宋" w:hAnsi="仿宋" w:eastAsia="仿宋"/>
          <w:color w:val="000000"/>
          <w:szCs w:val="21"/>
        </w:rPr>
        <w:t>。</w:t>
      </w:r>
    </w:p>
    <w:p w14:paraId="2C93553C">
      <w:pPr>
        <w:spacing w:line="440" w:lineRule="exact"/>
        <w:ind w:firstLine="420" w:firstLineChars="200"/>
        <w:rPr>
          <w:rFonts w:ascii="仿宋" w:hAnsi="仿宋" w:eastAsia="仿宋"/>
          <w:color w:val="000000"/>
          <w:szCs w:val="21"/>
        </w:rPr>
      </w:pPr>
      <w:r>
        <w:rPr>
          <w:rFonts w:hint="eastAsia" w:ascii="仿宋" w:hAnsi="仿宋" w:eastAsia="仿宋"/>
          <w:color w:val="000000"/>
          <w:szCs w:val="21"/>
        </w:rPr>
        <w:t>6.本公司同意在合同目的范围内配合</w:t>
      </w:r>
      <w:r>
        <w:rPr>
          <w:rFonts w:hint="eastAsia" w:ascii="仿宋" w:hAnsi="仿宋" w:eastAsia="仿宋"/>
          <w:color w:val="000000"/>
          <w:szCs w:val="21"/>
          <w:u w:val="single"/>
        </w:rPr>
        <w:t>温州金洋集装箱码头有限公司</w:t>
      </w:r>
      <w:r>
        <w:rPr>
          <w:rFonts w:hint="eastAsia" w:ascii="仿宋" w:hAnsi="仿宋" w:eastAsia="仿宋"/>
          <w:color w:val="000000"/>
          <w:szCs w:val="21"/>
        </w:rPr>
        <w:t>的合规检查，不得隐瞒可能造成</w:t>
      </w:r>
      <w:r>
        <w:rPr>
          <w:rFonts w:hint="eastAsia" w:ascii="仿宋" w:hAnsi="仿宋" w:eastAsia="仿宋"/>
          <w:color w:val="000000"/>
          <w:szCs w:val="21"/>
          <w:u w:val="single"/>
        </w:rPr>
        <w:t>温州金洋集装箱码头有限公司</w:t>
      </w:r>
      <w:r>
        <w:rPr>
          <w:rFonts w:hint="eastAsia" w:ascii="仿宋" w:hAnsi="仿宋" w:eastAsia="仿宋"/>
          <w:color w:val="000000"/>
          <w:szCs w:val="21"/>
        </w:rPr>
        <w:t>利益受损的信息。</w:t>
      </w:r>
    </w:p>
    <w:p w14:paraId="3EF74213">
      <w:pPr>
        <w:spacing w:line="440" w:lineRule="exact"/>
        <w:ind w:firstLine="420" w:firstLineChars="200"/>
        <w:rPr>
          <w:rFonts w:ascii="仿宋" w:hAnsi="仿宋" w:eastAsia="仿宋"/>
          <w:color w:val="000000"/>
          <w:szCs w:val="21"/>
        </w:rPr>
      </w:pPr>
      <w:r>
        <w:rPr>
          <w:rFonts w:hint="eastAsia" w:ascii="仿宋" w:hAnsi="仿宋" w:eastAsia="仿宋"/>
          <w:color w:val="000000"/>
          <w:szCs w:val="21"/>
        </w:rPr>
        <w:t>7.本公司承诺对本承诺书执行情况进行监督检查，本公司及员工未遵守承诺事项，本公司承诺自愿赔偿由此给</w:t>
      </w:r>
      <w:r>
        <w:rPr>
          <w:rFonts w:hint="eastAsia" w:ascii="仿宋" w:hAnsi="仿宋" w:eastAsia="仿宋"/>
          <w:color w:val="000000"/>
          <w:szCs w:val="21"/>
          <w:u w:val="single"/>
        </w:rPr>
        <w:t>温州金洋集装箱码头有限公司</w:t>
      </w:r>
      <w:r>
        <w:rPr>
          <w:rFonts w:hint="eastAsia" w:ascii="仿宋" w:hAnsi="仿宋" w:eastAsia="仿宋"/>
          <w:color w:val="000000"/>
          <w:szCs w:val="21"/>
        </w:rPr>
        <w:t>造成的损失，或按相关合同约定承担违约责任，且</w:t>
      </w:r>
      <w:r>
        <w:rPr>
          <w:rFonts w:hint="eastAsia" w:ascii="仿宋" w:hAnsi="仿宋" w:eastAsia="仿宋"/>
          <w:color w:val="000000"/>
          <w:szCs w:val="21"/>
          <w:u w:val="single"/>
        </w:rPr>
        <w:t>温州金洋集装箱码头有限公司</w:t>
      </w:r>
      <w:r>
        <w:rPr>
          <w:rFonts w:hint="eastAsia" w:ascii="仿宋" w:hAnsi="仿宋" w:eastAsia="仿宋"/>
          <w:color w:val="000000"/>
          <w:szCs w:val="21"/>
        </w:rPr>
        <w:t>有权终止相关合同。</w:t>
      </w:r>
    </w:p>
    <w:p w14:paraId="34DA6230">
      <w:pPr>
        <w:spacing w:line="440" w:lineRule="exact"/>
        <w:ind w:left="210" w:leftChars="100" w:firstLine="210" w:firstLineChars="100"/>
        <w:rPr>
          <w:rFonts w:ascii="仿宋" w:hAnsi="仿宋" w:eastAsia="仿宋"/>
          <w:color w:val="000000"/>
          <w:szCs w:val="21"/>
        </w:rPr>
      </w:pPr>
      <w:r>
        <w:rPr>
          <w:rFonts w:hint="eastAsia" w:ascii="仿宋" w:hAnsi="仿宋" w:eastAsia="仿宋"/>
          <w:color w:val="000000"/>
          <w:szCs w:val="21"/>
        </w:rPr>
        <w:t>本承诺函一式两份，经承诺人签字/盖章后生效，由承诺人和</w:t>
      </w:r>
      <w:r>
        <w:rPr>
          <w:rFonts w:hint="eastAsia" w:ascii="仿宋" w:hAnsi="仿宋" w:eastAsia="仿宋"/>
          <w:color w:val="000000"/>
          <w:szCs w:val="21"/>
          <w:u w:val="single"/>
        </w:rPr>
        <w:t>温州金洋集装箱码头有限公司</w:t>
      </w:r>
      <w:r>
        <w:rPr>
          <w:rFonts w:hint="eastAsia" w:ascii="仿宋" w:hAnsi="仿宋" w:eastAsia="仿宋"/>
          <w:color w:val="000000"/>
          <w:szCs w:val="21"/>
        </w:rPr>
        <w:t>各保留一份。</w:t>
      </w:r>
    </w:p>
    <w:p w14:paraId="54598334">
      <w:pPr>
        <w:spacing w:line="440" w:lineRule="exact"/>
        <w:jc w:val="center"/>
        <w:rPr>
          <w:rFonts w:ascii="仿宋" w:hAnsi="仿宋" w:eastAsia="仿宋"/>
          <w:szCs w:val="21"/>
          <w:u w:val="single"/>
        </w:rPr>
      </w:pPr>
      <w:r>
        <w:rPr>
          <w:rFonts w:hint="eastAsia" w:ascii="仿宋" w:hAnsi="仿宋" w:eastAsia="仿宋"/>
          <w:szCs w:val="21"/>
        </w:rPr>
        <w:t xml:space="preserve">                          承诺人（签字/盖章）：</w:t>
      </w:r>
      <w:r>
        <w:rPr>
          <w:rFonts w:hint="eastAsia" w:ascii="仿宋" w:hAnsi="仿宋" w:eastAsia="仿宋"/>
          <w:szCs w:val="21"/>
          <w:u w:val="single"/>
        </w:rPr>
        <w:t xml:space="preserve">       </w:t>
      </w:r>
    </w:p>
    <w:p w14:paraId="25A91157">
      <w:pPr>
        <w:spacing w:line="440" w:lineRule="exact"/>
        <w:ind w:firstLine="420" w:firstLineChars="200"/>
        <w:jc w:val="right"/>
        <w:rPr>
          <w:rFonts w:ascii="仿宋" w:hAnsi="仿宋" w:eastAsia="仿宋"/>
          <w:szCs w:val="21"/>
        </w:rPr>
      </w:pPr>
      <w:r>
        <w:rPr>
          <w:rFonts w:hint="eastAsia" w:ascii="仿宋" w:hAnsi="仿宋" w:eastAsia="仿宋"/>
          <w:szCs w:val="21"/>
          <w:u w:val="single"/>
        </w:rPr>
        <w:t xml:space="preserve">    </w:t>
      </w:r>
      <w:r>
        <w:rPr>
          <w:rFonts w:hint="eastAsia" w:ascii="仿宋" w:hAnsi="仿宋" w:eastAsia="仿宋"/>
          <w:szCs w:val="21"/>
        </w:rPr>
        <w:t>年</w:t>
      </w:r>
      <w:r>
        <w:rPr>
          <w:rFonts w:hint="eastAsia" w:ascii="仿宋" w:hAnsi="仿宋" w:eastAsia="仿宋"/>
          <w:szCs w:val="21"/>
          <w:u w:val="single"/>
        </w:rPr>
        <w:t xml:space="preserve">    </w:t>
      </w:r>
      <w:r>
        <w:rPr>
          <w:rFonts w:hint="eastAsia" w:ascii="仿宋" w:hAnsi="仿宋" w:eastAsia="仿宋"/>
          <w:szCs w:val="21"/>
        </w:rPr>
        <w:t>月</w:t>
      </w:r>
      <w:r>
        <w:rPr>
          <w:rFonts w:hint="eastAsia" w:ascii="仿宋" w:hAnsi="仿宋" w:eastAsia="仿宋"/>
          <w:szCs w:val="21"/>
          <w:u w:val="single"/>
        </w:rPr>
        <w:t xml:space="preserve">    </w:t>
      </w:r>
      <w:r>
        <w:rPr>
          <w:rFonts w:hint="eastAsia" w:ascii="仿宋" w:hAnsi="仿宋" w:eastAsia="仿宋"/>
          <w:szCs w:val="21"/>
        </w:rPr>
        <w:t>日</w:t>
      </w:r>
    </w:p>
    <w:p w14:paraId="5A75C5C1">
      <w:pPr>
        <w:rPr>
          <w:rFonts w:ascii="宋体" w:hAnsi="宋体"/>
          <w:b/>
          <w:szCs w:val="21"/>
        </w:rPr>
      </w:pPr>
      <w:r>
        <w:rPr>
          <w:rFonts w:hint="eastAsia" w:ascii="宋体" w:hAnsi="宋体"/>
          <w:b/>
          <w:szCs w:val="21"/>
        </w:rPr>
        <w:br w:type="page"/>
      </w:r>
    </w:p>
    <w:p w14:paraId="6172FB78">
      <w:pPr>
        <w:spacing w:line="420" w:lineRule="exact"/>
        <w:rPr>
          <w:rFonts w:ascii="宋体" w:hAnsi="宋体"/>
          <w:b/>
          <w:szCs w:val="21"/>
        </w:rPr>
      </w:pPr>
      <w:r>
        <w:rPr>
          <w:rFonts w:hint="eastAsia" w:ascii="宋体" w:hAnsi="宋体"/>
          <w:b/>
          <w:szCs w:val="21"/>
        </w:rPr>
        <w:t>附件</w:t>
      </w:r>
      <w:r>
        <w:rPr>
          <w:rFonts w:hint="eastAsia" w:ascii="宋体" w:hAnsi="宋体"/>
          <w:b/>
          <w:szCs w:val="21"/>
          <w:lang w:val="en-US" w:eastAsia="zh-CN"/>
        </w:rPr>
        <w:t>3</w:t>
      </w:r>
      <w:r>
        <w:rPr>
          <w:rFonts w:hint="eastAsia" w:ascii="宋体" w:hAnsi="宋体"/>
          <w:b/>
          <w:szCs w:val="21"/>
        </w:rPr>
        <w:t>：</w:t>
      </w:r>
    </w:p>
    <w:p w14:paraId="2EA667AC">
      <w:pPr>
        <w:spacing w:line="560" w:lineRule="exact"/>
        <w:jc w:val="center"/>
        <w:rPr>
          <w:rFonts w:ascii="方正小标宋简体" w:hAnsi="黑体" w:eastAsia="方正小标宋简体"/>
          <w:szCs w:val="21"/>
        </w:rPr>
      </w:pPr>
      <w:r>
        <w:rPr>
          <w:rFonts w:hint="eastAsia" w:ascii="方正小标宋简体" w:eastAsia="方正小标宋简体"/>
          <w:szCs w:val="21"/>
        </w:rPr>
        <w:t>温州金洋集装箱码头有限公司</w:t>
      </w:r>
    </w:p>
    <w:p w14:paraId="262E7182">
      <w:pPr>
        <w:spacing w:line="560" w:lineRule="exact"/>
        <w:jc w:val="center"/>
        <w:rPr>
          <w:rFonts w:ascii="方正小标宋简体" w:hAnsi="黑体" w:eastAsia="方正小标宋简体"/>
          <w:szCs w:val="21"/>
        </w:rPr>
      </w:pPr>
      <w:r>
        <w:rPr>
          <w:rFonts w:hint="eastAsia" w:ascii="方正小标宋简体" w:eastAsia="方正小标宋简体"/>
          <w:szCs w:val="21"/>
        </w:rPr>
        <w:t>社会治安综合治理责任书</w:t>
      </w:r>
    </w:p>
    <w:p w14:paraId="69A7F841">
      <w:pPr>
        <w:spacing w:line="560" w:lineRule="exact"/>
        <w:jc w:val="center"/>
        <w:rPr>
          <w:rFonts w:ascii="仿宋_GB2312" w:hAnsi="宋体" w:eastAsia="仿宋_GB2312"/>
          <w:szCs w:val="21"/>
        </w:rPr>
      </w:pPr>
      <w:r>
        <w:rPr>
          <w:rFonts w:hint="eastAsia" w:ascii="仿宋_GB2312" w:hAnsi="宋体" w:eastAsia="仿宋_GB2312"/>
          <w:szCs w:val="21"/>
        </w:rPr>
        <w:t xml:space="preserve">                      </w:t>
      </w:r>
    </w:p>
    <w:p w14:paraId="1BD4E65B">
      <w:pPr>
        <w:spacing w:line="560" w:lineRule="exact"/>
        <w:ind w:firstLine="420" w:firstLineChars="200"/>
        <w:rPr>
          <w:rFonts w:ascii="仿宋" w:hAnsi="仿宋" w:eastAsia="仿宋"/>
          <w:szCs w:val="21"/>
        </w:rPr>
      </w:pPr>
      <w:r>
        <w:rPr>
          <w:rFonts w:hint="eastAsia" w:ascii="仿宋" w:hAnsi="仿宋" w:eastAsia="仿宋"/>
          <w:szCs w:val="21"/>
        </w:rPr>
        <w:t xml:space="preserve">为深化“平安国企”“平安温港”建设，贯彻落实上级加强港区管理的精神和要求，维护好港区良好的生产、作业、交通、办公秩序，根据港区社会治安综合治理相关要求，温州金洋集装箱码头有限公司（以下简称“金洋公司”）与相关方单位（以下简称“相关方单位”）签订本责任书。 </w:t>
      </w:r>
    </w:p>
    <w:p w14:paraId="239A34A8">
      <w:pPr>
        <w:spacing w:line="560" w:lineRule="exact"/>
        <w:ind w:firstLine="420" w:firstLineChars="200"/>
        <w:rPr>
          <w:rFonts w:ascii="仿宋" w:hAnsi="仿宋" w:eastAsia="仿宋"/>
          <w:szCs w:val="21"/>
        </w:rPr>
      </w:pPr>
      <w:r>
        <w:rPr>
          <w:rFonts w:hint="eastAsia" w:ascii="仿宋" w:hAnsi="仿宋" w:eastAsia="仿宋"/>
          <w:szCs w:val="21"/>
        </w:rPr>
        <w:t>一、相关方单位应加强对综治维稳工作的领导，将其摆上重要议事日程，贯彻“生产、综治两手抓”的原则，根据本责任书要求，严格抓好单位内部的综合治理工作，对本单位的综合治理工作负有直接责任。</w:t>
      </w:r>
    </w:p>
    <w:p w14:paraId="0120BA19">
      <w:pPr>
        <w:spacing w:line="560" w:lineRule="exact"/>
        <w:ind w:firstLine="420" w:firstLineChars="200"/>
        <w:rPr>
          <w:rFonts w:ascii="仿宋" w:hAnsi="仿宋" w:eastAsia="仿宋"/>
          <w:szCs w:val="21"/>
        </w:rPr>
      </w:pPr>
      <w:r>
        <w:rPr>
          <w:rFonts w:hint="eastAsia" w:ascii="仿宋" w:hAnsi="仿宋" w:eastAsia="仿宋"/>
          <w:szCs w:val="21"/>
        </w:rPr>
        <w:t>二、相关方单位应积极组织职工学习法律法规、规章制度和安全业务知识，做好职工人身、财产安全管理和提醒工作，教导职工文明上下班、文明开展工作，不断增强职工的法制观念、安全意识。</w:t>
      </w:r>
    </w:p>
    <w:p w14:paraId="66D40D1F">
      <w:pPr>
        <w:spacing w:line="560" w:lineRule="exact"/>
        <w:ind w:firstLine="420" w:firstLineChars="200"/>
        <w:rPr>
          <w:rFonts w:ascii="仿宋" w:hAnsi="仿宋" w:eastAsia="仿宋"/>
          <w:szCs w:val="21"/>
        </w:rPr>
      </w:pPr>
      <w:r>
        <w:rPr>
          <w:rFonts w:hint="eastAsia" w:ascii="仿宋" w:hAnsi="仿宋" w:eastAsia="仿宋"/>
          <w:szCs w:val="21"/>
        </w:rPr>
        <w:t>三、相关方单位应积极做好职工思想政治工作，随时掌握职工思想情绪和动态，排查各类不稳定因素，并及时化解矛盾，防止矛盾激化。</w:t>
      </w:r>
    </w:p>
    <w:p w14:paraId="719A1F74">
      <w:pPr>
        <w:spacing w:line="560" w:lineRule="exact"/>
        <w:ind w:firstLine="420" w:firstLineChars="200"/>
        <w:rPr>
          <w:rFonts w:ascii="仿宋" w:hAnsi="仿宋" w:eastAsia="仿宋"/>
          <w:szCs w:val="21"/>
        </w:rPr>
      </w:pPr>
      <w:r>
        <w:rPr>
          <w:rFonts w:hint="eastAsia" w:ascii="仿宋" w:hAnsi="仿宋" w:eastAsia="仿宋"/>
          <w:szCs w:val="21"/>
        </w:rPr>
        <w:t>四、相关方单位应加强防火防盗工作，做好治安安全检查和自备（或指定）消防设施、消防器材等各类安全器材的保管保养工作，不得随意挪动、破坏、占用消防设备设施。抓好环境卫生工作，保持通道畅通，消除不安全因素。</w:t>
      </w:r>
    </w:p>
    <w:p w14:paraId="7846BB51">
      <w:pPr>
        <w:spacing w:line="560" w:lineRule="exact"/>
        <w:ind w:firstLine="420" w:firstLineChars="200"/>
        <w:rPr>
          <w:rFonts w:ascii="仿宋" w:hAnsi="仿宋" w:eastAsia="仿宋"/>
          <w:szCs w:val="21"/>
        </w:rPr>
      </w:pPr>
      <w:r>
        <w:rPr>
          <w:rFonts w:hint="eastAsia" w:ascii="仿宋" w:hAnsi="仿宋" w:eastAsia="仿宋"/>
          <w:szCs w:val="21"/>
        </w:rPr>
        <w:t>五、相关方单位应加强人员入港管理，驻港工作人员资料提前报金洋公司安全卫环部备案办理《进港证》，人员变动应及时向金洋公司报备更新。因港方业务需要进入港区生产区域的，港方业务对口部室负责相关方人员的备案及港内引领工作。无关人员禁止进入港区生产区域。</w:t>
      </w:r>
    </w:p>
    <w:p w14:paraId="7514EA4D">
      <w:pPr>
        <w:spacing w:line="560" w:lineRule="exact"/>
        <w:ind w:firstLine="420" w:firstLineChars="200"/>
        <w:rPr>
          <w:rFonts w:ascii="仿宋" w:hAnsi="仿宋" w:eastAsia="仿宋"/>
          <w:szCs w:val="21"/>
        </w:rPr>
      </w:pPr>
      <w:r>
        <w:rPr>
          <w:rFonts w:hint="eastAsia" w:ascii="仿宋" w:hAnsi="仿宋" w:eastAsia="仿宋"/>
          <w:szCs w:val="21"/>
        </w:rPr>
        <w:t>六、相关方单位人员在进入港区前，该人员归属相关方单位应及时传达港区综治工作要求，了解港区相关管理规章制度，掌握必要的安全消防环保等常识，了解港区的安全环境特点，安全规程要求及作业秩序纪律和其它安全规定。</w:t>
      </w:r>
    </w:p>
    <w:p w14:paraId="1D328DBE">
      <w:pPr>
        <w:spacing w:line="560" w:lineRule="exact"/>
        <w:ind w:firstLine="420" w:firstLineChars="200"/>
        <w:rPr>
          <w:rFonts w:ascii="仿宋" w:hAnsi="仿宋" w:eastAsia="仿宋"/>
          <w:szCs w:val="21"/>
        </w:rPr>
      </w:pPr>
      <w:r>
        <w:rPr>
          <w:rFonts w:hint="eastAsia" w:ascii="仿宋" w:hAnsi="仿宋" w:eastAsia="仿宋"/>
          <w:szCs w:val="21"/>
        </w:rPr>
        <w:t>七、相关方单位应加强车辆入港管理，入港车辆资料提前报金洋公司安全卫环部备案办理《进港证》，并按港方指定路线行驶。港区生产作业区域除施工车辆、作业车辆、送货车辆、特种车辆外，其他车辆未经允许禁止通行。</w:t>
      </w:r>
    </w:p>
    <w:p w14:paraId="22F2566E">
      <w:pPr>
        <w:spacing w:line="560" w:lineRule="exact"/>
        <w:ind w:firstLine="420" w:firstLineChars="200"/>
        <w:rPr>
          <w:rFonts w:ascii="仿宋" w:hAnsi="仿宋" w:eastAsia="仿宋"/>
          <w:szCs w:val="21"/>
        </w:rPr>
      </w:pPr>
      <w:r>
        <w:rPr>
          <w:rFonts w:hint="eastAsia" w:ascii="仿宋" w:hAnsi="仿宋" w:eastAsia="仿宋"/>
          <w:szCs w:val="21"/>
        </w:rPr>
        <w:t>八、相关方单位应加强出入管理，港区已备案的相关方驻港人员、汽车、摩托车、电瓶车等，应主动出示证件或持《进港证》进入，外来客户需引领登记进港。港区原则上实行“西进东出”通行规则，步行人员可从西大门人员门禁出港，先出后入。人员应走人行道，汽车、摩托车、电瓶车按区域规定停放。</w:t>
      </w:r>
    </w:p>
    <w:p w14:paraId="7EBDE3E6">
      <w:pPr>
        <w:spacing w:line="560" w:lineRule="exact"/>
        <w:ind w:firstLine="420" w:firstLineChars="200"/>
        <w:rPr>
          <w:rFonts w:ascii="仿宋" w:hAnsi="仿宋" w:eastAsia="仿宋"/>
          <w:szCs w:val="21"/>
        </w:rPr>
      </w:pPr>
      <w:r>
        <w:rPr>
          <w:rFonts w:hint="eastAsia" w:ascii="仿宋" w:hAnsi="仿宋" w:eastAsia="仿宋"/>
          <w:szCs w:val="21"/>
        </w:rPr>
        <w:t>九、相关方单位应严格遵守禁止共享单车进入本港区规定，严禁一切跟车(人)闯港等行为，做到一车(人)一杆。</w:t>
      </w:r>
    </w:p>
    <w:p w14:paraId="0D77552D">
      <w:pPr>
        <w:spacing w:line="560" w:lineRule="exact"/>
        <w:ind w:firstLine="420" w:firstLineChars="200"/>
        <w:rPr>
          <w:rFonts w:ascii="仿宋" w:hAnsi="仿宋" w:eastAsia="仿宋"/>
          <w:szCs w:val="21"/>
        </w:rPr>
      </w:pPr>
      <w:r>
        <w:rPr>
          <w:rFonts w:hint="eastAsia" w:ascii="仿宋" w:hAnsi="仿宋" w:eastAsia="仿宋"/>
          <w:szCs w:val="21"/>
        </w:rPr>
        <w:t>十、相关方单位人员应遵守国家及省市相关环境法律法规的要求，严格执行港区环境保护管理有关规定制度；严禁在港区乱扔垃圾，乱倒废水、废渣；废弃物应按照港区要求进行分类，并投至相应垃圾桶。</w:t>
      </w:r>
    </w:p>
    <w:p w14:paraId="28907EA2">
      <w:pPr>
        <w:spacing w:line="560" w:lineRule="exact"/>
        <w:ind w:firstLine="420" w:firstLineChars="200"/>
        <w:rPr>
          <w:rFonts w:ascii="仿宋" w:hAnsi="仿宋" w:eastAsia="仿宋"/>
          <w:szCs w:val="21"/>
        </w:rPr>
      </w:pPr>
      <w:r>
        <w:rPr>
          <w:rFonts w:hint="eastAsia" w:ascii="仿宋" w:hAnsi="仿宋" w:eastAsia="仿宋"/>
          <w:szCs w:val="21"/>
        </w:rPr>
        <w:t>十一、相关方船舶严禁私自在码头靠离泊，在港船舶的船员下船须提前申报，做到非必要不出舱、非必要不下船，有必要下船必须应穿戴好安全帽、反光衣，并向金洋公司通报，要出港通知代理公司接送。</w:t>
      </w:r>
    </w:p>
    <w:p w14:paraId="4C3FBF77">
      <w:pPr>
        <w:spacing w:line="560" w:lineRule="exact"/>
        <w:ind w:firstLine="420" w:firstLineChars="200"/>
        <w:rPr>
          <w:rFonts w:ascii="仿宋" w:hAnsi="仿宋" w:eastAsia="仿宋"/>
          <w:szCs w:val="21"/>
        </w:rPr>
      </w:pPr>
      <w:r>
        <w:rPr>
          <w:rFonts w:hint="eastAsia" w:ascii="仿宋" w:hAnsi="仿宋" w:eastAsia="仿宋"/>
          <w:szCs w:val="21"/>
        </w:rPr>
        <w:t>十二、相关方单位要落实安全防火措施，预防火灾和遏制火灾危害。每天下班前应有专人检查安全，做到断水、断电、关窗锁门。未经允许，不准使用大功率电器，不准私拉电力线路，以防火灾。确保驻港大楼的楼道以及其他消防通道的畅通，严禁占用、堵塞、封闭安全出口，影响安全消防通道的正常通行。严禁出现“三合一”情况。</w:t>
      </w:r>
    </w:p>
    <w:p w14:paraId="1E81025D">
      <w:pPr>
        <w:spacing w:line="560" w:lineRule="exact"/>
        <w:ind w:firstLine="420" w:firstLineChars="200"/>
        <w:rPr>
          <w:rFonts w:ascii="仿宋" w:hAnsi="仿宋" w:eastAsia="仿宋"/>
          <w:szCs w:val="21"/>
        </w:rPr>
      </w:pPr>
      <w:r>
        <w:rPr>
          <w:rFonts w:hint="eastAsia" w:ascii="仿宋" w:hAnsi="仿宋" w:eastAsia="仿宋"/>
          <w:szCs w:val="21"/>
        </w:rPr>
        <w:t>十三、相关方单位作业使用的机械设备必须符合国家相关要求，并取得相应的运营资格证书，操作人员必须持证作业。设备、工具如有特殊要求，如是否防爆或存在危险因素，应及时向有关部门说明，需要配合的应同有关部门及时取得联系，经许可后方可进行作业。</w:t>
      </w:r>
    </w:p>
    <w:p w14:paraId="7840C4E0">
      <w:pPr>
        <w:spacing w:line="560" w:lineRule="exact"/>
        <w:ind w:firstLine="420" w:firstLineChars="200"/>
        <w:rPr>
          <w:rFonts w:ascii="仿宋" w:hAnsi="仿宋" w:eastAsia="仿宋"/>
          <w:szCs w:val="21"/>
        </w:rPr>
      </w:pPr>
      <w:r>
        <w:rPr>
          <w:rFonts w:hint="eastAsia" w:ascii="仿宋" w:hAnsi="仿宋" w:eastAsia="仿宋"/>
          <w:szCs w:val="21"/>
        </w:rPr>
        <w:t>十四、相关方单位作业应遵守港区安保防盗相关规定，相关方人员携带物品、器具等出港，必须出具出门单等有效证明并经检查后方可出港。</w:t>
      </w:r>
    </w:p>
    <w:p w14:paraId="2A9FAC66">
      <w:pPr>
        <w:spacing w:line="560" w:lineRule="exact"/>
        <w:ind w:firstLine="420" w:firstLineChars="200"/>
        <w:rPr>
          <w:rFonts w:ascii="仿宋" w:hAnsi="仿宋" w:eastAsia="仿宋"/>
          <w:szCs w:val="21"/>
        </w:rPr>
      </w:pPr>
      <w:r>
        <w:rPr>
          <w:rFonts w:hint="eastAsia" w:ascii="仿宋" w:hAnsi="仿宋" w:eastAsia="仿宋"/>
          <w:szCs w:val="21"/>
        </w:rPr>
        <w:t>十五、相关方单位外来作业队伍作业前要辨识出作业过程中的风险隐患等危险因素，并制定落实相关防范措施，方可进行作业。</w:t>
      </w:r>
    </w:p>
    <w:p w14:paraId="35EE274E">
      <w:pPr>
        <w:spacing w:line="560" w:lineRule="exact"/>
        <w:ind w:firstLine="420" w:firstLineChars="200"/>
        <w:rPr>
          <w:rFonts w:ascii="仿宋" w:hAnsi="仿宋" w:eastAsia="仿宋"/>
          <w:szCs w:val="21"/>
        </w:rPr>
      </w:pPr>
      <w:r>
        <w:rPr>
          <w:rFonts w:hint="eastAsia" w:ascii="仿宋" w:hAnsi="仿宋" w:eastAsia="仿宋"/>
          <w:szCs w:val="21"/>
        </w:rPr>
        <w:t>十六、相关方单位人员在港区要遵守国家法律法规，发现有偷窃、打架斗殴、酒驾醉驾或进行“黄赌毒”行为的，将按港区有关规定处置，造成一定不良后果的,追究该相关方全部责任,并将当事人移交公安机关。相关方单位应严把人员招聘关，防止有前科、恶迹的人员进入港区驻港工作或作业。</w:t>
      </w:r>
    </w:p>
    <w:p w14:paraId="2C0E1083">
      <w:pPr>
        <w:spacing w:line="560" w:lineRule="exact"/>
        <w:ind w:firstLine="420" w:firstLineChars="200"/>
        <w:rPr>
          <w:rFonts w:ascii="仿宋" w:hAnsi="仿宋" w:eastAsia="仿宋"/>
          <w:szCs w:val="21"/>
        </w:rPr>
      </w:pPr>
      <w:r>
        <w:rPr>
          <w:rFonts w:hint="eastAsia" w:ascii="仿宋" w:hAnsi="仿宋" w:eastAsia="仿宋"/>
          <w:szCs w:val="21"/>
        </w:rPr>
        <w:t>十七、相关方单位负责人应将生产经营和综治维稳统筹兼顾，及时检查、督促、指导工作，把综治维稳工作各项措施落实到位，支持配合好金洋公司</w:t>
      </w:r>
      <w:r>
        <w:rPr>
          <w:rFonts w:hint="eastAsia" w:ascii="仿宋" w:hAnsi="仿宋" w:eastAsia="仿宋"/>
          <w:color w:val="000000"/>
          <w:szCs w:val="21"/>
        </w:rPr>
        <w:t>归口部门关于综治工作</w:t>
      </w:r>
      <w:r>
        <w:rPr>
          <w:rFonts w:hint="eastAsia" w:ascii="仿宋" w:hAnsi="仿宋" w:eastAsia="仿宋"/>
          <w:szCs w:val="21"/>
        </w:rPr>
        <w:t>的日常管理。</w:t>
      </w:r>
    </w:p>
    <w:p w14:paraId="025AEA14">
      <w:pPr>
        <w:spacing w:line="560" w:lineRule="exact"/>
        <w:ind w:firstLine="420" w:firstLineChars="200"/>
        <w:rPr>
          <w:rFonts w:ascii="仿宋" w:hAnsi="仿宋" w:eastAsia="仿宋"/>
          <w:szCs w:val="21"/>
        </w:rPr>
      </w:pPr>
      <w:r>
        <w:rPr>
          <w:rFonts w:hint="eastAsia" w:ascii="仿宋" w:hAnsi="仿宋" w:eastAsia="仿宋"/>
          <w:szCs w:val="21"/>
        </w:rPr>
        <w:t>十八、本责任书正本一式二份，金洋公司综合治理办公室与各相关方单位各执一份。本责任书由金洋公司综合治理办公室负责解释，有效期自合同签订日起至物资验收合格日止。期间如双方有人事变动，由继任者履行责任书职责。</w:t>
      </w:r>
    </w:p>
    <w:p w14:paraId="0CF8EFC6">
      <w:pPr>
        <w:pStyle w:val="80"/>
        <w:ind w:firstLine="401"/>
        <w:rPr>
          <w:rFonts w:ascii="仿宋_GB2312" w:eastAsia="仿宋_GB2312"/>
        </w:rPr>
      </w:pPr>
      <w:r>
        <w:rPr>
          <w:rFonts w:hint="eastAsia" w:ascii="仿宋_GB2312" w:eastAsia="仿宋_GB2312"/>
        </w:rPr>
        <w:t xml:space="preserve"> </w:t>
      </w:r>
    </w:p>
    <w:p w14:paraId="1AF2CE36">
      <w:pPr>
        <w:pStyle w:val="80"/>
        <w:ind w:firstLine="0" w:firstLineChars="0"/>
        <w:rPr>
          <w:rFonts w:ascii="仿宋" w:hAnsi="仿宋" w:eastAsia="仿宋"/>
        </w:rPr>
      </w:pPr>
      <w:r>
        <w:rPr>
          <w:rFonts w:hint="eastAsia" w:ascii="仿宋" w:hAnsi="仿宋" w:eastAsia="仿宋"/>
        </w:rPr>
        <w:t xml:space="preserve">金洋公司(盖章）：               相关方(盖章）：   </w:t>
      </w:r>
    </w:p>
    <w:p w14:paraId="6446D76E">
      <w:pPr>
        <w:pStyle w:val="80"/>
        <w:ind w:firstLine="0" w:firstLineChars="0"/>
        <w:rPr>
          <w:rFonts w:ascii="仿宋" w:hAnsi="仿宋" w:eastAsia="仿宋"/>
        </w:rPr>
      </w:pPr>
      <w:r>
        <w:rPr>
          <w:rFonts w:hint="eastAsia" w:ascii="仿宋" w:hAnsi="仿宋" w:eastAsia="仿宋"/>
        </w:rPr>
        <w:t>代表(签字)：                   代表(签字)：</w:t>
      </w:r>
    </w:p>
    <w:p w14:paraId="6CA4528B">
      <w:pPr>
        <w:pStyle w:val="80"/>
        <w:ind w:firstLine="0" w:firstLineChars="0"/>
        <w:rPr>
          <w:rFonts w:ascii="仿宋" w:hAnsi="仿宋" w:eastAsia="仿宋"/>
        </w:rPr>
      </w:pPr>
      <w:r>
        <w:rPr>
          <w:rFonts w:hint="eastAsia" w:ascii="仿宋" w:hAnsi="仿宋" w:eastAsia="仿宋"/>
        </w:rPr>
        <w:t>联系电话:                      联系电话:</w:t>
      </w:r>
    </w:p>
    <w:p w14:paraId="013578FC">
      <w:pPr>
        <w:spacing w:line="420" w:lineRule="exact"/>
        <w:rPr>
          <w:rFonts w:ascii="宋体" w:hAnsi="宋体"/>
          <w:b/>
          <w:szCs w:val="21"/>
        </w:rPr>
      </w:pPr>
      <w:r>
        <w:rPr>
          <w:rFonts w:hint="eastAsia" w:ascii="宋体" w:hAnsi="宋体"/>
          <w:b/>
          <w:szCs w:val="21"/>
        </w:rPr>
        <w:t xml:space="preserve"> </w:t>
      </w:r>
    </w:p>
    <w:p w14:paraId="35AE0B47">
      <w:pPr>
        <w:spacing w:line="420" w:lineRule="exact"/>
        <w:rPr>
          <w:rFonts w:ascii="宋体" w:hAnsi="宋体"/>
          <w:b/>
          <w:szCs w:val="21"/>
        </w:rPr>
      </w:pPr>
      <w:r>
        <w:rPr>
          <w:rFonts w:hint="eastAsia" w:ascii="宋体" w:hAnsi="宋体"/>
          <w:b/>
          <w:szCs w:val="21"/>
        </w:rPr>
        <w:t xml:space="preserve"> </w:t>
      </w:r>
    </w:p>
    <w:p w14:paraId="2AC787F9">
      <w:pPr>
        <w:spacing w:line="420" w:lineRule="exact"/>
        <w:rPr>
          <w:rFonts w:ascii="宋体" w:hAnsi="宋体"/>
          <w:b/>
          <w:szCs w:val="21"/>
        </w:rPr>
      </w:pPr>
      <w:r>
        <w:rPr>
          <w:rFonts w:hint="eastAsia" w:ascii="宋体" w:hAnsi="宋体"/>
          <w:b/>
          <w:szCs w:val="21"/>
        </w:rPr>
        <w:t xml:space="preserve"> </w:t>
      </w:r>
    </w:p>
    <w:p w14:paraId="234782B1">
      <w:pPr>
        <w:pStyle w:val="8"/>
      </w:pPr>
    </w:p>
    <w:p w14:paraId="1682A1D3">
      <w:pPr>
        <w:rPr>
          <w:rFonts w:ascii="宋体" w:hAnsi="宋体"/>
          <w:b/>
          <w:szCs w:val="21"/>
        </w:rPr>
      </w:pPr>
      <w:r>
        <w:rPr>
          <w:rFonts w:hint="eastAsia" w:ascii="宋体" w:hAnsi="宋体"/>
          <w:b/>
          <w:szCs w:val="21"/>
        </w:rPr>
        <w:br w:type="page"/>
      </w:r>
    </w:p>
    <w:p w14:paraId="6EC6B571">
      <w:pPr>
        <w:spacing w:line="420" w:lineRule="exact"/>
        <w:rPr>
          <w:rFonts w:ascii="宋体" w:hAnsi="宋体"/>
          <w:b/>
          <w:szCs w:val="21"/>
        </w:rPr>
      </w:pPr>
      <w:r>
        <w:rPr>
          <w:rFonts w:hint="eastAsia" w:ascii="宋体" w:hAnsi="宋体"/>
          <w:b/>
          <w:szCs w:val="21"/>
        </w:rPr>
        <w:t>附件</w:t>
      </w:r>
      <w:r>
        <w:rPr>
          <w:rFonts w:hint="eastAsia" w:ascii="宋体" w:hAnsi="宋体"/>
          <w:b/>
          <w:szCs w:val="21"/>
          <w:lang w:val="en-US" w:eastAsia="zh-CN"/>
        </w:rPr>
        <w:t>4</w:t>
      </w:r>
      <w:r>
        <w:rPr>
          <w:rFonts w:hint="eastAsia" w:ascii="宋体" w:hAnsi="宋体"/>
          <w:b/>
          <w:szCs w:val="21"/>
        </w:rPr>
        <w:t>：</w:t>
      </w:r>
    </w:p>
    <w:p w14:paraId="47772566">
      <w:pPr>
        <w:spacing w:line="420" w:lineRule="exact"/>
        <w:jc w:val="center"/>
        <w:rPr>
          <w:rFonts w:ascii="仿宋" w:hAnsi="仿宋" w:eastAsia="仿宋"/>
          <w:b/>
          <w:kern w:val="0"/>
          <w:szCs w:val="21"/>
        </w:rPr>
      </w:pPr>
      <w:r>
        <w:rPr>
          <w:rFonts w:hint="eastAsia" w:ascii="仿宋" w:hAnsi="仿宋" w:eastAsia="仿宋"/>
          <w:b/>
          <w:szCs w:val="21"/>
        </w:rPr>
        <w:t>温州金洋集装箱码头有限公司</w:t>
      </w:r>
    </w:p>
    <w:p w14:paraId="30E8C82C">
      <w:pPr>
        <w:spacing w:line="420" w:lineRule="exact"/>
        <w:jc w:val="center"/>
        <w:rPr>
          <w:rFonts w:ascii="仿宋" w:hAnsi="仿宋" w:eastAsia="仿宋"/>
          <w:b/>
          <w:szCs w:val="21"/>
        </w:rPr>
      </w:pPr>
      <w:r>
        <w:rPr>
          <w:rFonts w:hint="eastAsia" w:ascii="仿宋" w:hAnsi="仿宋" w:eastAsia="仿宋"/>
          <w:b/>
          <w:szCs w:val="21"/>
        </w:rPr>
        <w:t>相关方安全环保消防综治告知书</w:t>
      </w:r>
    </w:p>
    <w:p w14:paraId="178CF438">
      <w:pPr>
        <w:spacing w:line="420" w:lineRule="exact"/>
        <w:ind w:firstLine="420" w:firstLineChars="200"/>
        <w:rPr>
          <w:rFonts w:ascii="宋体" w:hAnsi="宋体"/>
          <w:bCs/>
          <w:szCs w:val="21"/>
        </w:rPr>
      </w:pPr>
      <w:r>
        <w:rPr>
          <w:rFonts w:hint="eastAsia"/>
          <w:bCs/>
          <w:szCs w:val="21"/>
        </w:rPr>
        <w:t xml:space="preserve"> </w:t>
      </w:r>
    </w:p>
    <w:p w14:paraId="2D2BEB60">
      <w:pPr>
        <w:spacing w:line="400" w:lineRule="exact"/>
        <w:ind w:firstLine="420" w:firstLineChars="200"/>
        <w:rPr>
          <w:rFonts w:ascii="仿宋" w:hAnsi="仿宋" w:eastAsia="仿宋"/>
          <w:bCs/>
          <w:szCs w:val="21"/>
        </w:rPr>
      </w:pPr>
      <w:r>
        <w:rPr>
          <w:rFonts w:hint="eastAsia" w:ascii="仿宋" w:hAnsi="仿宋" w:eastAsia="仿宋"/>
          <w:bCs/>
          <w:szCs w:val="21"/>
        </w:rPr>
        <w:t>为贯彻落实上级加强港区管理的精神和要求，进一步规范相关方行为，强化对进出港区人员、车辆的有效管控，维护好港区良好的生产、作业、交通、办公秩序，在相关方安全管理、环境保护、消防安全等协议内容的基础上，根据港区安全、环保、防疫、综治等相关要求，特制定本告知书。</w:t>
      </w:r>
    </w:p>
    <w:p w14:paraId="70931497">
      <w:pPr>
        <w:numPr>
          <w:ilvl w:val="0"/>
          <w:numId w:val="2"/>
        </w:numPr>
        <w:autoSpaceDE w:val="0"/>
        <w:autoSpaceDN w:val="0"/>
        <w:spacing w:line="400" w:lineRule="exact"/>
        <w:ind w:firstLine="420" w:firstLineChars="200"/>
        <w:jc w:val="left"/>
        <w:rPr>
          <w:rFonts w:ascii="仿宋" w:hAnsi="仿宋" w:eastAsia="仿宋"/>
          <w:bCs/>
          <w:szCs w:val="21"/>
        </w:rPr>
      </w:pPr>
      <w:r>
        <w:rPr>
          <w:rFonts w:hint="eastAsia" w:ascii="仿宋" w:hAnsi="仿宋" w:eastAsia="仿宋"/>
          <w:bCs/>
          <w:szCs w:val="21"/>
        </w:rPr>
        <w:t xml:space="preserve">外来人员进入港区时必须向港区门岗主动出示有效证件或相关进港凭证，并接受门岗检查、登记，经确认后入港；港区已备案的相关方驻港人员由系统人脸识别进入；流行病患者谢绝进港。 </w:t>
      </w:r>
    </w:p>
    <w:p w14:paraId="06B9E0A5">
      <w:pPr>
        <w:numPr>
          <w:ilvl w:val="0"/>
          <w:numId w:val="2"/>
        </w:numPr>
        <w:autoSpaceDE w:val="0"/>
        <w:autoSpaceDN w:val="0"/>
        <w:spacing w:line="400" w:lineRule="exact"/>
        <w:ind w:firstLine="420" w:firstLineChars="200"/>
        <w:jc w:val="left"/>
        <w:rPr>
          <w:rFonts w:ascii="仿宋" w:hAnsi="仿宋" w:eastAsia="仿宋"/>
          <w:bCs/>
          <w:szCs w:val="21"/>
        </w:rPr>
      </w:pPr>
      <w:r>
        <w:rPr>
          <w:rFonts w:hint="eastAsia" w:ascii="仿宋" w:hAnsi="仿宋" w:eastAsia="仿宋"/>
          <w:bCs/>
          <w:szCs w:val="21"/>
        </w:rPr>
        <w:t>港区原则上实行“西进东出”的通行规则，允许步行的人员从西大门人员门禁出港，但要注意做到先出后入礼让。汽车及电动车、摩托车等需提请报告并由安全部门核准发放《进港证》，无证无牌的禁止入港。</w:t>
      </w:r>
    </w:p>
    <w:p w14:paraId="7C87F9CB">
      <w:pPr>
        <w:numPr>
          <w:ilvl w:val="0"/>
          <w:numId w:val="2"/>
        </w:numPr>
        <w:autoSpaceDE w:val="0"/>
        <w:autoSpaceDN w:val="0"/>
        <w:spacing w:line="400" w:lineRule="exact"/>
        <w:ind w:firstLine="420" w:firstLineChars="200"/>
        <w:jc w:val="left"/>
        <w:rPr>
          <w:rFonts w:ascii="仿宋" w:hAnsi="仿宋" w:eastAsia="仿宋"/>
          <w:bCs/>
          <w:szCs w:val="21"/>
        </w:rPr>
      </w:pPr>
      <w:r>
        <w:rPr>
          <w:rFonts w:hint="eastAsia" w:ascii="仿宋" w:hAnsi="仿宋" w:eastAsia="仿宋"/>
          <w:bCs/>
          <w:szCs w:val="21"/>
        </w:rPr>
        <w:t>禁止无关人员进入港区生产区域，因港方业务需要进入港区生产区域的，须由港方业务对口部室引领至安全卫环部备案，并由该部室接待人员引领入内，按港区规定路线通行。</w:t>
      </w:r>
    </w:p>
    <w:p w14:paraId="0A7F3A72">
      <w:pPr>
        <w:numPr>
          <w:ilvl w:val="0"/>
          <w:numId w:val="2"/>
        </w:numPr>
        <w:autoSpaceDE w:val="0"/>
        <w:autoSpaceDN w:val="0"/>
        <w:spacing w:line="400" w:lineRule="exact"/>
        <w:ind w:firstLine="420" w:firstLineChars="200"/>
        <w:jc w:val="left"/>
        <w:rPr>
          <w:rFonts w:ascii="仿宋" w:hAnsi="仿宋" w:eastAsia="仿宋"/>
          <w:bCs/>
          <w:szCs w:val="21"/>
        </w:rPr>
      </w:pPr>
      <w:r>
        <w:rPr>
          <w:rFonts w:hint="eastAsia" w:ascii="仿宋" w:hAnsi="仿宋" w:eastAsia="仿宋"/>
          <w:bCs/>
          <w:szCs w:val="21"/>
        </w:rPr>
        <w:t>港区生产作业区域除执法执勤车辆、施工车辆、作业车辆、送货车辆、特种车辆外，其他车辆未经允许禁止通行；各类车辆须按港方指定路线行驶。</w:t>
      </w:r>
    </w:p>
    <w:p w14:paraId="7A85BBB8">
      <w:pPr>
        <w:numPr>
          <w:ilvl w:val="0"/>
          <w:numId w:val="2"/>
        </w:numPr>
        <w:autoSpaceDE w:val="0"/>
        <w:autoSpaceDN w:val="0"/>
        <w:spacing w:line="400" w:lineRule="exact"/>
        <w:ind w:firstLine="420" w:firstLineChars="200"/>
        <w:jc w:val="left"/>
        <w:rPr>
          <w:rFonts w:ascii="仿宋" w:hAnsi="仿宋" w:eastAsia="仿宋"/>
          <w:bCs/>
          <w:szCs w:val="21"/>
        </w:rPr>
      </w:pPr>
      <w:r>
        <w:rPr>
          <w:rFonts w:hint="eastAsia" w:ascii="仿宋" w:hAnsi="仿宋" w:eastAsia="仿宋"/>
          <w:bCs/>
          <w:szCs w:val="21"/>
        </w:rPr>
        <w:t>各相关方单位必须将驻港工作人员（不含集卡司机）相关资料向港方管理部门（安全卫环部）备案，经审核同意给予办理入港 卡片，人员有变动时及时向港方报备更新。相关方人员新增备案需同时提交该人员安全培训记录。</w:t>
      </w:r>
    </w:p>
    <w:p w14:paraId="6DF043D6">
      <w:pPr>
        <w:numPr>
          <w:ilvl w:val="0"/>
          <w:numId w:val="2"/>
        </w:numPr>
        <w:autoSpaceDE w:val="0"/>
        <w:autoSpaceDN w:val="0"/>
        <w:spacing w:line="400" w:lineRule="exact"/>
        <w:ind w:firstLine="420" w:firstLineChars="200"/>
        <w:jc w:val="left"/>
        <w:rPr>
          <w:rFonts w:ascii="仿宋" w:hAnsi="仿宋" w:eastAsia="仿宋"/>
          <w:bCs/>
          <w:szCs w:val="21"/>
        </w:rPr>
      </w:pPr>
      <w:r>
        <w:rPr>
          <w:rFonts w:hint="eastAsia" w:ascii="仿宋" w:hAnsi="仿宋" w:eastAsia="仿宋"/>
          <w:bCs/>
          <w:szCs w:val="21"/>
        </w:rPr>
        <w:t>禁止共享单车进入本港区，严禁一切跟车（人）闯港等行为，做到一车（人）一杆，人员、车辆各行其道。</w:t>
      </w:r>
    </w:p>
    <w:p w14:paraId="37622A73">
      <w:pPr>
        <w:numPr>
          <w:ilvl w:val="0"/>
          <w:numId w:val="2"/>
        </w:numPr>
        <w:autoSpaceDE w:val="0"/>
        <w:autoSpaceDN w:val="0"/>
        <w:spacing w:line="400" w:lineRule="exact"/>
        <w:ind w:firstLine="420" w:firstLineChars="200"/>
        <w:jc w:val="left"/>
        <w:rPr>
          <w:rFonts w:ascii="仿宋" w:hAnsi="仿宋" w:eastAsia="仿宋"/>
          <w:bCs/>
          <w:szCs w:val="21"/>
        </w:rPr>
      </w:pPr>
      <w:r>
        <w:rPr>
          <w:rFonts w:hint="eastAsia" w:ascii="仿宋" w:hAnsi="仿宋" w:eastAsia="仿宋"/>
          <w:bCs/>
          <w:szCs w:val="21"/>
        </w:rPr>
        <w:t>相关方单位工作人员在进入港区前，归属相关方单位必须进行安全培训教育和要求传达，了解港区相关管理规章制度，掌握必要的安全消防环保等常识，了解港区的安全环境特点，安全规程要求及作业秩序纪律和其它安全规定。</w:t>
      </w:r>
    </w:p>
    <w:p w14:paraId="548B3390">
      <w:pPr>
        <w:numPr>
          <w:ilvl w:val="0"/>
          <w:numId w:val="2"/>
        </w:numPr>
        <w:autoSpaceDE w:val="0"/>
        <w:autoSpaceDN w:val="0"/>
        <w:spacing w:line="400" w:lineRule="exact"/>
        <w:ind w:firstLine="420" w:firstLineChars="200"/>
        <w:jc w:val="left"/>
        <w:rPr>
          <w:rFonts w:ascii="仿宋" w:hAnsi="仿宋" w:eastAsia="仿宋"/>
          <w:bCs/>
          <w:szCs w:val="21"/>
        </w:rPr>
      </w:pPr>
      <w:r>
        <w:rPr>
          <w:rFonts w:hint="eastAsia" w:ascii="仿宋" w:hAnsi="仿宋" w:eastAsia="仿宋"/>
          <w:bCs/>
          <w:szCs w:val="21"/>
        </w:rPr>
        <w:t>相关方人员应遵守国家及省市相关环境法律法规的要求，严格执行港区环境保护管理有关规定制度。严禁在港区内乱扔垃圾，废弃物应按照港区要求进行分类，并投入到相应的垃圾桶内。港方严查乱丢铅封行为。</w:t>
      </w:r>
    </w:p>
    <w:p w14:paraId="14B1B71B">
      <w:pPr>
        <w:numPr>
          <w:ilvl w:val="0"/>
          <w:numId w:val="2"/>
        </w:numPr>
        <w:autoSpaceDE w:val="0"/>
        <w:autoSpaceDN w:val="0"/>
        <w:spacing w:line="400" w:lineRule="exact"/>
        <w:ind w:firstLine="420" w:firstLineChars="200"/>
        <w:jc w:val="left"/>
        <w:rPr>
          <w:rFonts w:ascii="仿宋" w:hAnsi="仿宋" w:eastAsia="仿宋"/>
          <w:bCs/>
          <w:szCs w:val="21"/>
        </w:rPr>
      </w:pPr>
      <w:r>
        <w:rPr>
          <w:rFonts w:hint="eastAsia" w:ascii="仿宋" w:hAnsi="仿宋" w:eastAsia="仿宋"/>
          <w:bCs/>
          <w:szCs w:val="21"/>
        </w:rPr>
        <w:t>相关方单位应对工作中可能产生的废气和噪音加以有效地控制，对于进入港区内的机动车辆应尽快按照有关规定就位停放、及时关闭引擎，尽可能地减少在港区内排放废气、产生噪音，以降低对环境的污染，出现油品大面积泄漏等情况要报告至港方，并采取正确的环保处理措施。</w:t>
      </w:r>
    </w:p>
    <w:p w14:paraId="2FE6EF36">
      <w:pPr>
        <w:numPr>
          <w:ilvl w:val="0"/>
          <w:numId w:val="2"/>
        </w:numPr>
        <w:autoSpaceDE w:val="0"/>
        <w:autoSpaceDN w:val="0"/>
        <w:spacing w:line="400" w:lineRule="exact"/>
        <w:ind w:firstLine="420" w:firstLineChars="200"/>
        <w:jc w:val="left"/>
        <w:rPr>
          <w:rFonts w:ascii="仿宋" w:hAnsi="仿宋" w:eastAsia="仿宋"/>
          <w:bCs/>
          <w:szCs w:val="21"/>
        </w:rPr>
      </w:pPr>
      <w:r>
        <w:rPr>
          <w:rFonts w:hint="eastAsia" w:ascii="仿宋" w:hAnsi="仿宋" w:eastAsia="仿宋"/>
          <w:bCs/>
          <w:szCs w:val="21"/>
        </w:rPr>
        <w:t>相关方车辆进入港区要遵守港方管理相关规定，严禁乱停乱放、超速行驶、乱按喇叭等行为，生产区域道路直行限速为25公里/小时；路口转弯限速为10公里/小时；加油站、港区闸口等特殊通道限速为5公里/小时；码头平台及栈桥区域限速15公里/小时；后勤办公区域道路直行限速为30公里/小时，路口转弯限速为15公里/小时。相关方船舶严禁私自在码头靠离泊，在港船舶的船员下船须提前申报，非必要不出舱、非必要不下船，必须穿戴好安全帽、反光衣，并向港方通报。</w:t>
      </w:r>
    </w:p>
    <w:p w14:paraId="7E4CACC4">
      <w:pPr>
        <w:numPr>
          <w:ilvl w:val="0"/>
          <w:numId w:val="2"/>
        </w:numPr>
        <w:autoSpaceDE w:val="0"/>
        <w:autoSpaceDN w:val="0"/>
        <w:spacing w:line="400" w:lineRule="exact"/>
        <w:ind w:firstLine="420" w:firstLineChars="200"/>
        <w:jc w:val="left"/>
        <w:rPr>
          <w:rFonts w:ascii="仿宋" w:hAnsi="仿宋" w:eastAsia="仿宋"/>
          <w:bCs/>
          <w:szCs w:val="21"/>
        </w:rPr>
      </w:pPr>
      <w:r>
        <w:rPr>
          <w:rFonts w:hint="eastAsia" w:ascii="仿宋" w:hAnsi="仿宋" w:eastAsia="仿宋"/>
          <w:bCs/>
          <w:szCs w:val="21"/>
        </w:rPr>
        <w:t>相关方的作业人员在港区生产区域必须沿港区黄色人行斑马线行走。在港期间除紧急避险外集卡司机禁止下车，不在作业区内检查箱体，有事联系码头箱管处理。要杜绝违章作业，并服从港区安全管理人员的监督检查，违章者将按港区相关规定扣除相应的安全生产履约保证金。</w:t>
      </w:r>
    </w:p>
    <w:p w14:paraId="6ACB51CD">
      <w:pPr>
        <w:numPr>
          <w:ilvl w:val="0"/>
          <w:numId w:val="2"/>
        </w:numPr>
        <w:autoSpaceDE w:val="0"/>
        <w:autoSpaceDN w:val="0"/>
        <w:spacing w:line="400" w:lineRule="exact"/>
        <w:ind w:firstLine="420" w:firstLineChars="200"/>
        <w:jc w:val="left"/>
        <w:rPr>
          <w:rFonts w:ascii="仿宋" w:hAnsi="仿宋" w:eastAsia="仿宋"/>
          <w:bCs/>
          <w:szCs w:val="21"/>
        </w:rPr>
      </w:pPr>
      <w:r>
        <w:rPr>
          <w:rFonts w:hint="eastAsia" w:ascii="仿宋" w:hAnsi="仿宋" w:eastAsia="仿宋"/>
          <w:bCs/>
          <w:szCs w:val="21"/>
        </w:rPr>
        <w:t>相关方施工作业单位应设立现场安全管理人员具体负责现场安全监管工作。 2米以上高空作业、临水作业或有限空间作业时，应提前向港方报备，做好现场安全防护措施，严禁私自作业；高于 2 米高空作业必须做好安全防护措施，带好安全带；临水作业时必须做好安全防护措施，穿好救生衣，系好安全带；相关方作业人员严禁进入港区机械设备作业区域 8 米范围内，严禁人机混合作业。</w:t>
      </w:r>
    </w:p>
    <w:p w14:paraId="1270D8B8">
      <w:pPr>
        <w:numPr>
          <w:ilvl w:val="0"/>
          <w:numId w:val="2"/>
        </w:numPr>
        <w:autoSpaceDE w:val="0"/>
        <w:autoSpaceDN w:val="0"/>
        <w:spacing w:line="400" w:lineRule="exact"/>
        <w:ind w:firstLine="420" w:firstLineChars="200"/>
        <w:jc w:val="left"/>
        <w:rPr>
          <w:rFonts w:ascii="仿宋" w:hAnsi="仿宋" w:eastAsia="仿宋"/>
          <w:bCs/>
          <w:szCs w:val="21"/>
        </w:rPr>
      </w:pPr>
      <w:r>
        <w:rPr>
          <w:rFonts w:hint="eastAsia" w:ascii="仿宋" w:hAnsi="仿宋" w:eastAsia="仿宋"/>
          <w:bCs/>
          <w:szCs w:val="21"/>
        </w:rPr>
        <w:t>相关方单位要落实安全防火措施，预防火灾和遏制火灾危害。每天下班前应有专人检查安全，做到断水、断电、关窗锁门。未经允许，不准使用大功率电器，不准私拉电力线路，以防火灾。确保驻港大楼的楼道以及其他消防通道的畅通，严禁占用、堵塞、封闭安全出口，影响安全消防通道的正常通行。严禁出现“三合一”情况。</w:t>
      </w:r>
    </w:p>
    <w:p w14:paraId="7D2A4AE2">
      <w:pPr>
        <w:numPr>
          <w:ilvl w:val="0"/>
          <w:numId w:val="2"/>
        </w:numPr>
        <w:autoSpaceDE w:val="0"/>
        <w:autoSpaceDN w:val="0"/>
        <w:spacing w:line="400" w:lineRule="exact"/>
        <w:ind w:firstLine="420" w:firstLineChars="200"/>
        <w:jc w:val="left"/>
        <w:rPr>
          <w:rFonts w:ascii="仿宋" w:hAnsi="仿宋" w:eastAsia="仿宋"/>
          <w:bCs/>
          <w:szCs w:val="21"/>
        </w:rPr>
      </w:pPr>
      <w:r>
        <w:rPr>
          <w:rFonts w:hint="eastAsia" w:ascii="仿宋" w:hAnsi="仿宋" w:eastAsia="仿宋"/>
          <w:bCs/>
          <w:szCs w:val="21"/>
        </w:rPr>
        <w:t>在港区内如需动火作业的，必须先向港方申请办理动火许可，按照有关制度执行，做好安全防护措施，动火作业人员必须持有效证件进行作业，动火作业现场应由专人进行监管。在港区内施工的电气设备工具用电时，必须按公司临时用电管理制度执行。</w:t>
      </w:r>
    </w:p>
    <w:p w14:paraId="273D158D">
      <w:pPr>
        <w:numPr>
          <w:ilvl w:val="0"/>
          <w:numId w:val="2"/>
        </w:numPr>
        <w:autoSpaceDE w:val="0"/>
        <w:autoSpaceDN w:val="0"/>
        <w:spacing w:line="400" w:lineRule="exact"/>
        <w:ind w:firstLine="420" w:firstLineChars="200"/>
        <w:jc w:val="left"/>
        <w:rPr>
          <w:rFonts w:ascii="仿宋" w:hAnsi="仿宋" w:eastAsia="仿宋"/>
          <w:bCs/>
          <w:szCs w:val="21"/>
        </w:rPr>
      </w:pPr>
      <w:r>
        <w:rPr>
          <w:rFonts w:hint="eastAsia" w:ascii="仿宋" w:hAnsi="仿宋" w:eastAsia="仿宋"/>
          <w:bCs/>
          <w:szCs w:val="21"/>
        </w:rPr>
        <w:t>相关方人员只准在规定的区域内作业，不能随处乱走，乱动与作业无关的设备、阀门、仪表、电气和开关等。相关方人员应在完工后将作业现场清理干净，恢复完好。</w:t>
      </w:r>
    </w:p>
    <w:p w14:paraId="7E56DF17">
      <w:pPr>
        <w:numPr>
          <w:ilvl w:val="0"/>
          <w:numId w:val="2"/>
        </w:numPr>
        <w:autoSpaceDE w:val="0"/>
        <w:autoSpaceDN w:val="0"/>
        <w:spacing w:line="400" w:lineRule="exact"/>
        <w:ind w:firstLine="420" w:firstLineChars="200"/>
        <w:jc w:val="left"/>
        <w:rPr>
          <w:rFonts w:ascii="仿宋" w:hAnsi="仿宋" w:eastAsia="仿宋"/>
          <w:bCs/>
          <w:szCs w:val="21"/>
        </w:rPr>
      </w:pPr>
      <w:r>
        <w:rPr>
          <w:rFonts w:hint="eastAsia" w:ascii="仿宋" w:hAnsi="仿宋" w:eastAsia="仿宋"/>
          <w:bCs/>
          <w:szCs w:val="21"/>
        </w:rPr>
        <w:t>相关方作业单位使用的机械设备必须符合国家相关要求， 并取得相应的运营资格证书，操作人员必须持证作业。设备、工具如有特殊要求，如是否防爆或存在危险因素，应及时向有关部门说明， 需要配合的应同有关部门及时取得联系，经许可后方可进行作业。</w:t>
      </w:r>
    </w:p>
    <w:p w14:paraId="45DDF269">
      <w:pPr>
        <w:numPr>
          <w:ilvl w:val="0"/>
          <w:numId w:val="2"/>
        </w:numPr>
        <w:autoSpaceDE w:val="0"/>
        <w:autoSpaceDN w:val="0"/>
        <w:spacing w:line="400" w:lineRule="exact"/>
        <w:ind w:firstLine="420" w:firstLineChars="200"/>
        <w:jc w:val="left"/>
        <w:rPr>
          <w:rFonts w:ascii="仿宋" w:hAnsi="仿宋" w:eastAsia="仿宋"/>
          <w:bCs/>
          <w:szCs w:val="21"/>
        </w:rPr>
      </w:pPr>
      <w:r>
        <w:rPr>
          <w:rFonts w:hint="eastAsia" w:ascii="仿宋" w:hAnsi="仿宋" w:eastAsia="仿宋"/>
          <w:bCs/>
          <w:szCs w:val="21"/>
        </w:rPr>
        <w:t>相关方作业单位应遵守港区安保防盗相关规定，相关方人员携带物品、器具等出港必须出具有效的出门单方可出港。</w:t>
      </w:r>
    </w:p>
    <w:p w14:paraId="027A7372">
      <w:pPr>
        <w:numPr>
          <w:ilvl w:val="0"/>
          <w:numId w:val="2"/>
        </w:numPr>
        <w:autoSpaceDE w:val="0"/>
        <w:autoSpaceDN w:val="0"/>
        <w:spacing w:line="400" w:lineRule="exact"/>
        <w:ind w:firstLine="420" w:firstLineChars="200"/>
        <w:jc w:val="left"/>
        <w:rPr>
          <w:rFonts w:ascii="仿宋" w:hAnsi="仿宋" w:eastAsia="仿宋"/>
          <w:bCs/>
          <w:szCs w:val="21"/>
        </w:rPr>
      </w:pPr>
      <w:r>
        <w:rPr>
          <w:rFonts w:hint="eastAsia" w:ascii="仿宋" w:hAnsi="仿宋" w:eastAsia="仿宋"/>
          <w:bCs/>
          <w:szCs w:val="21"/>
        </w:rPr>
        <w:t>外来作业队伍作业前要辨识出作业过程中的风险隐患等危险因素，并制定出防范措施后，方可进行作业。</w:t>
      </w:r>
    </w:p>
    <w:p w14:paraId="427D3D27">
      <w:pPr>
        <w:numPr>
          <w:ilvl w:val="0"/>
          <w:numId w:val="2"/>
        </w:numPr>
        <w:autoSpaceDE w:val="0"/>
        <w:autoSpaceDN w:val="0"/>
        <w:spacing w:line="400" w:lineRule="exact"/>
        <w:ind w:firstLine="420" w:firstLineChars="200"/>
        <w:jc w:val="left"/>
        <w:rPr>
          <w:rFonts w:ascii="仿宋" w:hAnsi="仿宋" w:eastAsia="仿宋"/>
          <w:bCs/>
          <w:szCs w:val="21"/>
        </w:rPr>
      </w:pPr>
      <w:r>
        <w:rPr>
          <w:rFonts w:hint="eastAsia" w:ascii="仿宋" w:hAnsi="仿宋" w:eastAsia="仿宋"/>
          <w:bCs/>
          <w:szCs w:val="21"/>
        </w:rPr>
        <w:t>相关方人员在港区要遵守国家法律法规，发现有偷窃、打架、斗殴或进行“黄赌毒”行为的，将按港区有关规定处置，造成一定不良后果的，追究该相关方全部责任，并将当事人移交公安机关。 相关方单位要严把人员招聘关，防止有前科、恶迹的人员进入港区驻 港工作或作业。</w:t>
      </w:r>
    </w:p>
    <w:p w14:paraId="309E1FA7">
      <w:pPr>
        <w:numPr>
          <w:ilvl w:val="0"/>
          <w:numId w:val="2"/>
        </w:numPr>
        <w:autoSpaceDE w:val="0"/>
        <w:autoSpaceDN w:val="0"/>
        <w:spacing w:line="400" w:lineRule="exact"/>
        <w:ind w:firstLine="420" w:firstLineChars="200"/>
        <w:jc w:val="left"/>
        <w:rPr>
          <w:rFonts w:ascii="仿宋" w:hAnsi="仿宋" w:eastAsia="仿宋"/>
          <w:bCs/>
          <w:szCs w:val="21"/>
        </w:rPr>
      </w:pPr>
      <w:r>
        <w:rPr>
          <w:rFonts w:hint="eastAsia" w:ascii="仿宋" w:hAnsi="仿宋" w:eastAsia="仿宋"/>
          <w:bCs/>
          <w:szCs w:val="21"/>
        </w:rPr>
        <w:t>要爱护港区公共、安全设施，禁止任意破坏港区设施设备行为，出现损坏或事故及时汇报至港方管理部门（安全卫环部），任何瞒报、谎报、逃逸的行为将加重处罚。</w:t>
      </w:r>
    </w:p>
    <w:p w14:paraId="7BBD60B2">
      <w:pPr>
        <w:numPr>
          <w:ilvl w:val="0"/>
          <w:numId w:val="2"/>
        </w:numPr>
        <w:autoSpaceDE w:val="0"/>
        <w:autoSpaceDN w:val="0"/>
        <w:spacing w:line="400" w:lineRule="exact"/>
        <w:ind w:firstLine="420" w:firstLineChars="200"/>
        <w:jc w:val="left"/>
        <w:rPr>
          <w:rFonts w:ascii="仿宋" w:hAnsi="仿宋" w:eastAsia="仿宋"/>
          <w:bCs/>
          <w:szCs w:val="21"/>
        </w:rPr>
      </w:pPr>
      <w:r>
        <w:rPr>
          <w:rFonts w:hint="eastAsia" w:ascii="仿宋" w:hAnsi="仿宋" w:eastAsia="仿宋"/>
          <w:bCs/>
          <w:szCs w:val="21"/>
        </w:rPr>
        <w:t>本告知书未尽事宜，港方通过公告、通知、电话等方式将最新安全、环保、消防、综治等工作要求传达至各相关方单位，相关方单位要及时做好内部传达学习。</w:t>
      </w:r>
    </w:p>
    <w:p w14:paraId="454D7D66">
      <w:pPr>
        <w:autoSpaceDE w:val="0"/>
        <w:autoSpaceDN w:val="0"/>
        <w:spacing w:line="400" w:lineRule="exact"/>
        <w:jc w:val="left"/>
        <w:rPr>
          <w:b/>
          <w:szCs w:val="21"/>
        </w:rPr>
      </w:pPr>
      <w:r>
        <w:rPr>
          <w:b/>
          <w:szCs w:val="21"/>
        </w:rPr>
        <w:t xml:space="preserve"> </w:t>
      </w:r>
    </w:p>
    <w:p w14:paraId="38397F0B">
      <w:pPr>
        <w:autoSpaceDE w:val="0"/>
        <w:autoSpaceDN w:val="0"/>
        <w:spacing w:line="400" w:lineRule="exact"/>
        <w:jc w:val="left"/>
        <w:rPr>
          <w:b/>
          <w:szCs w:val="21"/>
        </w:rPr>
      </w:pPr>
      <w:r>
        <w:rPr>
          <w:b/>
          <w:szCs w:val="21"/>
        </w:rPr>
        <w:t xml:space="preserve"> </w:t>
      </w:r>
    </w:p>
    <w:p w14:paraId="6CA69933">
      <w:pPr>
        <w:autoSpaceDE w:val="0"/>
        <w:autoSpaceDN w:val="0"/>
        <w:spacing w:line="400" w:lineRule="exact"/>
        <w:jc w:val="left"/>
        <w:rPr>
          <w:b/>
          <w:szCs w:val="21"/>
        </w:rPr>
      </w:pPr>
      <w:r>
        <w:rPr>
          <w:b/>
          <w:szCs w:val="21"/>
        </w:rPr>
        <w:t xml:space="preserve"> </w:t>
      </w:r>
    </w:p>
    <w:p w14:paraId="0CAD7E9F">
      <w:pPr>
        <w:autoSpaceDE w:val="0"/>
        <w:autoSpaceDN w:val="0"/>
        <w:spacing w:line="400" w:lineRule="exact"/>
        <w:jc w:val="left"/>
        <w:rPr>
          <w:b/>
          <w:szCs w:val="21"/>
        </w:rPr>
      </w:pPr>
      <w:r>
        <w:rPr>
          <w:b/>
          <w:szCs w:val="21"/>
        </w:rPr>
        <w:t xml:space="preserve"> </w:t>
      </w:r>
    </w:p>
    <w:p w14:paraId="73C1F03C">
      <w:pPr>
        <w:spacing w:line="400" w:lineRule="exact"/>
        <w:rPr>
          <w:rFonts w:ascii="仿宋" w:hAnsi="仿宋" w:eastAsia="仿宋"/>
          <w:b/>
          <w:kern w:val="0"/>
          <w:szCs w:val="21"/>
        </w:rPr>
      </w:pPr>
      <w:r>
        <w:rPr>
          <w:rFonts w:hint="eastAsia" w:ascii="仿宋" w:hAnsi="仿宋" w:eastAsia="仿宋"/>
          <w:b/>
          <w:szCs w:val="21"/>
        </w:rPr>
        <w:t>注：需盖骑缝章。</w:t>
      </w:r>
    </w:p>
    <w:p w14:paraId="11C86AB0">
      <w:pPr>
        <w:spacing w:line="400" w:lineRule="exact"/>
        <w:rPr>
          <w:rFonts w:ascii="宋体" w:hAnsi="宋体"/>
          <w:szCs w:val="21"/>
        </w:rPr>
      </w:pPr>
      <w:r>
        <w:rPr>
          <w:rFonts w:hint="eastAsia"/>
          <w:szCs w:val="21"/>
        </w:rPr>
        <w:t xml:space="preserve"> </w:t>
      </w:r>
    </w:p>
    <w:p w14:paraId="0F259FD2">
      <w:pPr>
        <w:spacing w:line="500" w:lineRule="exact"/>
        <w:jc w:val="right"/>
        <w:rPr>
          <w:rFonts w:ascii="仿宋" w:hAnsi="仿宋" w:eastAsia="仿宋"/>
          <w:bCs/>
          <w:szCs w:val="21"/>
        </w:rPr>
      </w:pPr>
      <w:r>
        <w:rPr>
          <w:rFonts w:hint="eastAsia"/>
          <w:szCs w:val="21"/>
        </w:rPr>
        <w:t xml:space="preserve">                    </w:t>
      </w:r>
      <w:r>
        <w:rPr>
          <w:rFonts w:hint="eastAsia" w:ascii="仿宋" w:hAnsi="仿宋" w:eastAsia="仿宋"/>
          <w:bCs/>
          <w:szCs w:val="21"/>
        </w:rPr>
        <w:t xml:space="preserve">     金洋公司安全卫环部宣</w:t>
      </w:r>
    </w:p>
    <w:p w14:paraId="10C70770">
      <w:pPr>
        <w:spacing w:line="500" w:lineRule="exact"/>
        <w:ind w:left="420" w:leftChars="200"/>
        <w:jc w:val="center"/>
        <w:rPr>
          <w:rFonts w:ascii="仿宋" w:hAnsi="仿宋" w:eastAsia="仿宋"/>
          <w:bCs/>
          <w:szCs w:val="21"/>
        </w:rPr>
      </w:pPr>
      <w:r>
        <w:rPr>
          <w:rFonts w:hint="eastAsia" w:ascii="仿宋" w:hAnsi="仿宋" w:eastAsia="仿宋"/>
          <w:bCs/>
          <w:szCs w:val="21"/>
        </w:rPr>
        <w:t xml:space="preserve">相关方单位签字盖章：           </w:t>
      </w:r>
    </w:p>
    <w:p w14:paraId="60561ABC">
      <w:pPr>
        <w:spacing w:line="500" w:lineRule="exact"/>
        <w:ind w:left="420" w:leftChars="200"/>
        <w:jc w:val="right"/>
        <w:rPr>
          <w:rFonts w:ascii="仿宋" w:hAnsi="仿宋" w:eastAsia="仿宋"/>
          <w:bCs/>
          <w:szCs w:val="21"/>
        </w:rPr>
      </w:pPr>
      <w:r>
        <w:rPr>
          <w:rFonts w:hint="eastAsia" w:ascii="仿宋" w:hAnsi="仿宋" w:eastAsia="仿宋"/>
          <w:bCs/>
          <w:szCs w:val="21"/>
        </w:rPr>
        <w:t>年   月   日</w:t>
      </w:r>
    </w:p>
    <w:p w14:paraId="629231CD">
      <w:pPr>
        <w:autoSpaceDE w:val="0"/>
        <w:autoSpaceDN w:val="0"/>
        <w:spacing w:line="400" w:lineRule="exact"/>
        <w:jc w:val="left"/>
        <w:rPr>
          <w:b/>
          <w:szCs w:val="21"/>
        </w:rPr>
      </w:pPr>
    </w:p>
    <w:p w14:paraId="0D42F3E6">
      <w:pPr>
        <w:autoSpaceDE w:val="0"/>
        <w:autoSpaceDN w:val="0"/>
        <w:spacing w:line="400" w:lineRule="exact"/>
        <w:jc w:val="left"/>
        <w:rPr>
          <w:b/>
          <w:szCs w:val="21"/>
        </w:rPr>
      </w:pPr>
    </w:p>
    <w:p w14:paraId="17FC9C87">
      <w:pPr>
        <w:autoSpaceDE w:val="0"/>
        <w:autoSpaceDN w:val="0"/>
        <w:spacing w:line="400" w:lineRule="exact"/>
        <w:jc w:val="left"/>
        <w:rPr>
          <w:b/>
          <w:szCs w:val="21"/>
        </w:rPr>
      </w:pPr>
    </w:p>
    <w:p w14:paraId="1578C178">
      <w:pPr>
        <w:autoSpaceDE w:val="0"/>
        <w:autoSpaceDN w:val="0"/>
        <w:spacing w:line="400" w:lineRule="exact"/>
        <w:jc w:val="left"/>
        <w:rPr>
          <w:b/>
          <w:szCs w:val="21"/>
        </w:rPr>
      </w:pPr>
    </w:p>
    <w:p w14:paraId="609A5EE9">
      <w:pPr>
        <w:autoSpaceDE w:val="0"/>
        <w:autoSpaceDN w:val="0"/>
        <w:spacing w:line="400" w:lineRule="exact"/>
        <w:jc w:val="left"/>
        <w:rPr>
          <w:b/>
          <w:szCs w:val="21"/>
        </w:rPr>
      </w:pPr>
      <w:r>
        <w:rPr>
          <w:b/>
          <w:szCs w:val="21"/>
        </w:rPr>
        <w:t xml:space="preserve"> </w:t>
      </w:r>
    </w:p>
    <w:p w14:paraId="7A5B0332">
      <w:pPr>
        <w:rPr>
          <w:rFonts w:ascii="宋体" w:hAnsi="宋体"/>
          <w:b/>
          <w:szCs w:val="21"/>
        </w:rPr>
      </w:pPr>
      <w:r>
        <w:rPr>
          <w:rFonts w:hint="eastAsia" w:ascii="宋体" w:hAnsi="宋体"/>
          <w:b/>
          <w:szCs w:val="21"/>
        </w:rPr>
        <w:br w:type="page"/>
      </w:r>
    </w:p>
    <w:p w14:paraId="5D8227D6">
      <w:pPr>
        <w:autoSpaceDE w:val="0"/>
        <w:autoSpaceDN w:val="0"/>
        <w:spacing w:line="400" w:lineRule="exact"/>
        <w:jc w:val="left"/>
        <w:rPr>
          <w:rFonts w:ascii="仿宋" w:hAnsi="仿宋" w:eastAsia="仿宋"/>
          <w:bCs/>
          <w:szCs w:val="21"/>
        </w:rPr>
      </w:pPr>
      <w:r>
        <w:rPr>
          <w:rFonts w:hint="eastAsia" w:ascii="宋体" w:hAnsi="宋体"/>
          <w:b/>
          <w:szCs w:val="21"/>
        </w:rPr>
        <w:t>附件</w:t>
      </w:r>
      <w:r>
        <w:rPr>
          <w:rFonts w:hint="eastAsia"/>
          <w:b/>
          <w:szCs w:val="21"/>
          <w:lang w:val="en-US" w:eastAsia="zh-CN"/>
        </w:rPr>
        <w:t>5</w:t>
      </w:r>
      <w:r>
        <w:rPr>
          <w:rFonts w:hint="eastAsia" w:ascii="宋体" w:hAnsi="宋体"/>
          <w:b/>
          <w:szCs w:val="21"/>
        </w:rPr>
        <w:t>：</w:t>
      </w:r>
    </w:p>
    <w:p w14:paraId="3F1D67F9">
      <w:pPr>
        <w:jc w:val="center"/>
        <w:rPr>
          <w:rFonts w:ascii="宋体" w:hAnsi="宋体"/>
          <w:szCs w:val="21"/>
        </w:rPr>
      </w:pPr>
      <w:r>
        <w:rPr>
          <w:rFonts w:hint="eastAsia" w:ascii="宋体" w:hAnsi="宋体"/>
          <w:szCs w:val="21"/>
        </w:rPr>
        <w:t>温州金洋集装箱码头有限公司</w:t>
      </w:r>
    </w:p>
    <w:p w14:paraId="6A387F96">
      <w:pPr>
        <w:jc w:val="center"/>
        <w:rPr>
          <w:rFonts w:ascii="宋体" w:hAnsi="宋体"/>
          <w:szCs w:val="21"/>
        </w:rPr>
      </w:pPr>
      <w:r>
        <w:rPr>
          <w:rFonts w:hint="eastAsia" w:ascii="宋体" w:hAnsi="宋体"/>
          <w:szCs w:val="21"/>
        </w:rPr>
        <w:t>相关方安全管理登记表</w:t>
      </w:r>
    </w:p>
    <w:tbl>
      <w:tblPr>
        <w:tblStyle w:val="28"/>
        <w:tblW w:w="10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2"/>
        <w:gridCol w:w="486"/>
        <w:gridCol w:w="557"/>
        <w:gridCol w:w="1757"/>
        <w:gridCol w:w="389"/>
        <w:gridCol w:w="1280"/>
        <w:gridCol w:w="903"/>
        <w:gridCol w:w="695"/>
        <w:gridCol w:w="2335"/>
      </w:tblGrid>
      <w:tr w14:paraId="6F7B1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2775" w:type="dxa"/>
            <w:gridSpan w:val="3"/>
            <w:tcBorders>
              <w:top w:val="single" w:color="auto" w:sz="4" w:space="0"/>
              <w:left w:val="single" w:color="auto" w:sz="4" w:space="0"/>
              <w:bottom w:val="single" w:color="auto" w:sz="4" w:space="0"/>
              <w:right w:val="single" w:color="auto" w:sz="4" w:space="0"/>
            </w:tcBorders>
            <w:vAlign w:val="center"/>
          </w:tcPr>
          <w:p w14:paraId="5E44DAA4">
            <w:pPr>
              <w:spacing w:line="480" w:lineRule="auto"/>
              <w:rPr>
                <w:rFonts w:ascii="宋体" w:hAnsi="宋体"/>
                <w:szCs w:val="21"/>
              </w:rPr>
            </w:pPr>
            <w:r>
              <w:rPr>
                <w:rFonts w:hint="eastAsia" w:ascii="宋体" w:hAnsi="宋体"/>
                <w:szCs w:val="21"/>
              </w:rPr>
              <w:t>相关方单位名称（盖章）</w:t>
            </w:r>
          </w:p>
        </w:tc>
        <w:tc>
          <w:tcPr>
            <w:tcW w:w="7359" w:type="dxa"/>
            <w:gridSpan w:val="6"/>
            <w:tcBorders>
              <w:top w:val="single" w:color="auto" w:sz="4" w:space="0"/>
              <w:left w:val="nil"/>
              <w:bottom w:val="single" w:color="auto" w:sz="4" w:space="0"/>
              <w:right w:val="single" w:color="auto" w:sz="4" w:space="0"/>
            </w:tcBorders>
            <w:vAlign w:val="center"/>
          </w:tcPr>
          <w:p w14:paraId="70A1408B">
            <w:pPr>
              <w:spacing w:line="480" w:lineRule="auto"/>
              <w:rPr>
                <w:rFonts w:ascii="宋体" w:hAnsi="宋体"/>
                <w:szCs w:val="21"/>
              </w:rPr>
            </w:pPr>
          </w:p>
        </w:tc>
      </w:tr>
      <w:tr w14:paraId="19EA1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732" w:type="dxa"/>
            <w:tcBorders>
              <w:top w:val="single" w:color="auto" w:sz="4" w:space="0"/>
              <w:left w:val="single" w:color="auto" w:sz="4" w:space="0"/>
              <w:bottom w:val="single" w:color="auto" w:sz="4" w:space="0"/>
              <w:right w:val="single" w:color="auto" w:sz="4" w:space="0"/>
            </w:tcBorders>
            <w:vAlign w:val="center"/>
          </w:tcPr>
          <w:p w14:paraId="04EE14A7">
            <w:pPr>
              <w:spacing w:line="480" w:lineRule="auto"/>
              <w:jc w:val="center"/>
              <w:rPr>
                <w:rFonts w:ascii="宋体" w:hAnsi="宋体"/>
                <w:szCs w:val="21"/>
              </w:rPr>
            </w:pPr>
            <w:r>
              <w:rPr>
                <w:rFonts w:hint="eastAsia" w:ascii="宋体" w:hAnsi="宋体"/>
                <w:szCs w:val="21"/>
              </w:rPr>
              <w:t>作业区域</w:t>
            </w:r>
          </w:p>
        </w:tc>
        <w:tc>
          <w:tcPr>
            <w:tcW w:w="2799" w:type="dxa"/>
            <w:gridSpan w:val="3"/>
            <w:tcBorders>
              <w:top w:val="single" w:color="auto" w:sz="4" w:space="0"/>
              <w:left w:val="nil"/>
              <w:bottom w:val="single" w:color="auto" w:sz="4" w:space="0"/>
              <w:right w:val="single" w:color="auto" w:sz="4" w:space="0"/>
            </w:tcBorders>
            <w:vAlign w:val="center"/>
          </w:tcPr>
          <w:p w14:paraId="129B156D">
            <w:pPr>
              <w:spacing w:line="480" w:lineRule="auto"/>
              <w:jc w:val="center"/>
              <w:rPr>
                <w:rFonts w:ascii="宋体" w:hAnsi="宋体"/>
                <w:szCs w:val="21"/>
              </w:rPr>
            </w:pPr>
          </w:p>
        </w:tc>
        <w:tc>
          <w:tcPr>
            <w:tcW w:w="1669" w:type="dxa"/>
            <w:gridSpan w:val="2"/>
            <w:tcBorders>
              <w:top w:val="single" w:color="auto" w:sz="4" w:space="0"/>
              <w:left w:val="nil"/>
              <w:bottom w:val="single" w:color="auto" w:sz="4" w:space="0"/>
              <w:right w:val="single" w:color="auto" w:sz="4" w:space="0"/>
            </w:tcBorders>
            <w:vAlign w:val="center"/>
          </w:tcPr>
          <w:p w14:paraId="4BF32C8E">
            <w:pPr>
              <w:spacing w:line="480" w:lineRule="auto"/>
              <w:jc w:val="center"/>
              <w:rPr>
                <w:rFonts w:ascii="宋体" w:hAnsi="宋体"/>
                <w:szCs w:val="21"/>
              </w:rPr>
            </w:pPr>
            <w:r>
              <w:rPr>
                <w:rFonts w:hint="eastAsia" w:ascii="宋体" w:hAnsi="宋体"/>
                <w:szCs w:val="21"/>
              </w:rPr>
              <w:t>作业内容</w:t>
            </w:r>
          </w:p>
        </w:tc>
        <w:tc>
          <w:tcPr>
            <w:tcW w:w="3932" w:type="dxa"/>
            <w:gridSpan w:val="3"/>
            <w:tcBorders>
              <w:top w:val="single" w:color="auto" w:sz="4" w:space="0"/>
              <w:left w:val="nil"/>
              <w:bottom w:val="single" w:color="auto" w:sz="4" w:space="0"/>
              <w:right w:val="single" w:color="auto" w:sz="4" w:space="0"/>
            </w:tcBorders>
            <w:vAlign w:val="center"/>
          </w:tcPr>
          <w:p w14:paraId="247C70B0">
            <w:pPr>
              <w:spacing w:line="480" w:lineRule="auto"/>
              <w:jc w:val="center"/>
              <w:rPr>
                <w:rFonts w:ascii="宋体" w:hAnsi="宋体"/>
                <w:szCs w:val="21"/>
              </w:rPr>
            </w:pPr>
          </w:p>
        </w:tc>
      </w:tr>
      <w:tr w14:paraId="5E179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732" w:type="dxa"/>
            <w:tcBorders>
              <w:top w:val="single" w:color="auto" w:sz="4" w:space="0"/>
              <w:left w:val="single" w:color="auto" w:sz="4" w:space="0"/>
              <w:bottom w:val="single" w:color="auto" w:sz="4" w:space="0"/>
              <w:right w:val="single" w:color="auto" w:sz="4" w:space="0"/>
            </w:tcBorders>
            <w:vAlign w:val="center"/>
          </w:tcPr>
          <w:p w14:paraId="42A25ADF">
            <w:pPr>
              <w:jc w:val="center"/>
              <w:rPr>
                <w:rFonts w:ascii="宋体" w:hAnsi="宋体"/>
                <w:szCs w:val="21"/>
              </w:rPr>
            </w:pPr>
            <w:r>
              <w:rPr>
                <w:rFonts w:hint="eastAsia" w:ascii="宋体" w:hAnsi="宋体"/>
                <w:szCs w:val="21"/>
              </w:rPr>
              <w:t>作业时间</w:t>
            </w:r>
          </w:p>
        </w:tc>
        <w:tc>
          <w:tcPr>
            <w:tcW w:w="8402" w:type="dxa"/>
            <w:gridSpan w:val="8"/>
            <w:tcBorders>
              <w:top w:val="single" w:color="auto" w:sz="4" w:space="0"/>
              <w:left w:val="nil"/>
              <w:bottom w:val="single" w:color="auto" w:sz="4" w:space="0"/>
              <w:right w:val="single" w:color="auto" w:sz="4" w:space="0"/>
            </w:tcBorders>
            <w:vAlign w:val="center"/>
          </w:tcPr>
          <w:p w14:paraId="39AB5306">
            <w:pPr>
              <w:rPr>
                <w:rFonts w:ascii="宋体" w:hAnsi="宋体"/>
                <w:szCs w:val="21"/>
              </w:rPr>
            </w:pPr>
          </w:p>
        </w:tc>
      </w:tr>
      <w:tr w14:paraId="45EBC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1732" w:type="dxa"/>
            <w:tcBorders>
              <w:top w:val="single" w:color="auto" w:sz="4" w:space="0"/>
              <w:left w:val="single" w:color="auto" w:sz="4" w:space="0"/>
              <w:bottom w:val="single" w:color="auto" w:sz="4" w:space="0"/>
              <w:right w:val="single" w:color="auto" w:sz="4" w:space="0"/>
            </w:tcBorders>
            <w:vAlign w:val="center"/>
          </w:tcPr>
          <w:p w14:paraId="6DFC597A">
            <w:pPr>
              <w:rPr>
                <w:rFonts w:ascii="宋体" w:hAnsi="宋体"/>
                <w:szCs w:val="21"/>
              </w:rPr>
            </w:pPr>
            <w:r>
              <w:rPr>
                <w:rFonts w:hint="eastAsia" w:ascii="宋体" w:hAnsi="宋体"/>
                <w:szCs w:val="21"/>
              </w:rPr>
              <w:t>涉及特殊作业</w:t>
            </w:r>
          </w:p>
        </w:tc>
        <w:tc>
          <w:tcPr>
            <w:tcW w:w="8402" w:type="dxa"/>
            <w:gridSpan w:val="8"/>
            <w:tcBorders>
              <w:top w:val="single" w:color="auto" w:sz="4" w:space="0"/>
              <w:left w:val="nil"/>
              <w:bottom w:val="single" w:color="auto" w:sz="4" w:space="0"/>
              <w:right w:val="single" w:color="auto" w:sz="4" w:space="0"/>
            </w:tcBorders>
            <w:vAlign w:val="center"/>
          </w:tcPr>
          <w:p w14:paraId="46A75523">
            <w:pPr>
              <w:rPr>
                <w:rFonts w:ascii="宋体" w:hAnsi="宋体"/>
                <w:szCs w:val="21"/>
                <w:u w:val="single"/>
              </w:rPr>
            </w:pPr>
            <w:r>
              <w:rPr>
                <w:rFonts w:hint="eastAsia" w:ascii="宋体" w:hAnsi="宋体"/>
                <w:szCs w:val="21"/>
              </w:rPr>
              <w:t>□有限空间作业  □动火作业  □登高作业  □临水作业  □临时用电   □其他特殊作业：</w:t>
            </w:r>
            <w:r>
              <w:rPr>
                <w:rFonts w:hint="eastAsia" w:ascii="宋体" w:hAnsi="宋体"/>
                <w:szCs w:val="21"/>
                <w:u w:val="single"/>
              </w:rPr>
              <w:t xml:space="preserve">                </w:t>
            </w:r>
          </w:p>
        </w:tc>
      </w:tr>
      <w:tr w14:paraId="04279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732" w:type="dxa"/>
            <w:tcBorders>
              <w:top w:val="single" w:color="auto" w:sz="4" w:space="0"/>
              <w:left w:val="single" w:color="auto" w:sz="4" w:space="0"/>
              <w:bottom w:val="single" w:color="auto" w:sz="4" w:space="0"/>
              <w:right w:val="single" w:color="auto" w:sz="4" w:space="0"/>
            </w:tcBorders>
            <w:vAlign w:val="center"/>
          </w:tcPr>
          <w:p w14:paraId="44EF3261">
            <w:pPr>
              <w:spacing w:line="360" w:lineRule="auto"/>
              <w:jc w:val="center"/>
              <w:rPr>
                <w:rFonts w:ascii="宋体" w:hAnsi="宋体"/>
                <w:szCs w:val="21"/>
              </w:rPr>
            </w:pPr>
            <w:r>
              <w:rPr>
                <w:rFonts w:hint="eastAsia" w:ascii="宋体" w:hAnsi="宋体"/>
                <w:szCs w:val="21"/>
              </w:rPr>
              <w:t>项目负责人</w:t>
            </w:r>
          </w:p>
        </w:tc>
        <w:tc>
          <w:tcPr>
            <w:tcW w:w="2799" w:type="dxa"/>
            <w:gridSpan w:val="3"/>
            <w:tcBorders>
              <w:top w:val="single" w:color="auto" w:sz="4" w:space="0"/>
              <w:left w:val="nil"/>
              <w:bottom w:val="single" w:color="auto" w:sz="4" w:space="0"/>
              <w:right w:val="single" w:color="auto" w:sz="4" w:space="0"/>
            </w:tcBorders>
            <w:vAlign w:val="center"/>
          </w:tcPr>
          <w:p w14:paraId="5366794B">
            <w:pPr>
              <w:spacing w:line="360" w:lineRule="auto"/>
              <w:jc w:val="center"/>
              <w:rPr>
                <w:rFonts w:ascii="宋体" w:hAnsi="宋体"/>
                <w:szCs w:val="21"/>
              </w:rPr>
            </w:pPr>
          </w:p>
        </w:tc>
        <w:tc>
          <w:tcPr>
            <w:tcW w:w="1669" w:type="dxa"/>
            <w:gridSpan w:val="2"/>
            <w:tcBorders>
              <w:top w:val="single" w:color="auto" w:sz="4" w:space="0"/>
              <w:left w:val="nil"/>
              <w:bottom w:val="single" w:color="auto" w:sz="4" w:space="0"/>
              <w:right w:val="single" w:color="auto" w:sz="4" w:space="0"/>
            </w:tcBorders>
            <w:vAlign w:val="center"/>
          </w:tcPr>
          <w:p w14:paraId="64D72B39">
            <w:pPr>
              <w:spacing w:line="360" w:lineRule="auto"/>
              <w:jc w:val="center"/>
              <w:rPr>
                <w:rFonts w:ascii="宋体" w:hAnsi="宋体"/>
                <w:szCs w:val="21"/>
              </w:rPr>
            </w:pPr>
            <w:r>
              <w:rPr>
                <w:rFonts w:hint="eastAsia" w:ascii="宋体" w:hAnsi="宋体"/>
                <w:szCs w:val="21"/>
              </w:rPr>
              <w:t>联系电话</w:t>
            </w:r>
          </w:p>
        </w:tc>
        <w:tc>
          <w:tcPr>
            <w:tcW w:w="3932" w:type="dxa"/>
            <w:gridSpan w:val="3"/>
            <w:tcBorders>
              <w:top w:val="single" w:color="auto" w:sz="4" w:space="0"/>
              <w:left w:val="nil"/>
              <w:bottom w:val="single" w:color="auto" w:sz="4" w:space="0"/>
              <w:right w:val="single" w:color="auto" w:sz="4" w:space="0"/>
            </w:tcBorders>
            <w:vAlign w:val="center"/>
          </w:tcPr>
          <w:p w14:paraId="5CCCE0D6">
            <w:pPr>
              <w:spacing w:line="360" w:lineRule="auto"/>
              <w:rPr>
                <w:rFonts w:ascii="宋体" w:hAnsi="宋体"/>
                <w:szCs w:val="21"/>
              </w:rPr>
            </w:pPr>
          </w:p>
        </w:tc>
      </w:tr>
      <w:tr w14:paraId="376BA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2218" w:type="dxa"/>
            <w:gridSpan w:val="2"/>
            <w:tcBorders>
              <w:top w:val="single" w:color="auto" w:sz="4" w:space="0"/>
              <w:left w:val="single" w:color="auto" w:sz="4" w:space="0"/>
              <w:bottom w:val="single" w:color="auto" w:sz="4" w:space="0"/>
              <w:right w:val="single" w:color="auto" w:sz="4" w:space="0"/>
            </w:tcBorders>
            <w:vAlign w:val="center"/>
          </w:tcPr>
          <w:p w14:paraId="1C9FB2D7">
            <w:pPr>
              <w:spacing w:line="360" w:lineRule="auto"/>
              <w:jc w:val="center"/>
              <w:rPr>
                <w:rFonts w:ascii="宋体" w:hAnsi="宋体"/>
                <w:szCs w:val="21"/>
              </w:rPr>
            </w:pPr>
            <w:r>
              <w:rPr>
                <w:rFonts w:hint="eastAsia" w:ascii="宋体" w:hAnsi="宋体"/>
                <w:szCs w:val="21"/>
              </w:rPr>
              <w:t>归口部门（盖章）</w:t>
            </w:r>
          </w:p>
        </w:tc>
        <w:tc>
          <w:tcPr>
            <w:tcW w:w="2314" w:type="dxa"/>
            <w:gridSpan w:val="2"/>
            <w:tcBorders>
              <w:top w:val="single" w:color="auto" w:sz="4" w:space="0"/>
              <w:left w:val="nil"/>
              <w:bottom w:val="single" w:color="auto" w:sz="4" w:space="0"/>
              <w:right w:val="single" w:color="auto" w:sz="4" w:space="0"/>
            </w:tcBorders>
            <w:vAlign w:val="center"/>
          </w:tcPr>
          <w:p w14:paraId="16B887B4">
            <w:pPr>
              <w:spacing w:line="360" w:lineRule="auto"/>
              <w:rPr>
                <w:rFonts w:ascii="宋体" w:hAnsi="宋体"/>
                <w:szCs w:val="21"/>
              </w:rPr>
            </w:pPr>
          </w:p>
        </w:tc>
        <w:tc>
          <w:tcPr>
            <w:tcW w:w="1669" w:type="dxa"/>
            <w:gridSpan w:val="2"/>
            <w:tcBorders>
              <w:top w:val="single" w:color="auto" w:sz="4" w:space="0"/>
              <w:left w:val="nil"/>
              <w:bottom w:val="single" w:color="auto" w:sz="4" w:space="0"/>
              <w:right w:val="single" w:color="auto" w:sz="4" w:space="0"/>
            </w:tcBorders>
            <w:vAlign w:val="center"/>
          </w:tcPr>
          <w:p w14:paraId="3BABFADB">
            <w:pPr>
              <w:spacing w:line="360" w:lineRule="auto"/>
              <w:jc w:val="center"/>
              <w:rPr>
                <w:rFonts w:ascii="宋体" w:hAnsi="宋体"/>
                <w:szCs w:val="21"/>
              </w:rPr>
            </w:pPr>
            <w:r>
              <w:rPr>
                <w:rFonts w:hint="eastAsia" w:ascii="宋体" w:hAnsi="宋体"/>
                <w:szCs w:val="21"/>
              </w:rPr>
              <w:t>网格管理员</w:t>
            </w:r>
          </w:p>
        </w:tc>
        <w:tc>
          <w:tcPr>
            <w:tcW w:w="3932" w:type="dxa"/>
            <w:gridSpan w:val="3"/>
            <w:tcBorders>
              <w:top w:val="single" w:color="auto" w:sz="4" w:space="0"/>
              <w:left w:val="nil"/>
              <w:bottom w:val="single" w:color="auto" w:sz="4" w:space="0"/>
              <w:right w:val="single" w:color="auto" w:sz="4" w:space="0"/>
            </w:tcBorders>
            <w:vAlign w:val="center"/>
          </w:tcPr>
          <w:p w14:paraId="6094C8F6">
            <w:pPr>
              <w:spacing w:line="360" w:lineRule="auto"/>
              <w:rPr>
                <w:rFonts w:ascii="宋体" w:hAnsi="宋体"/>
                <w:szCs w:val="21"/>
              </w:rPr>
            </w:pPr>
          </w:p>
        </w:tc>
      </w:tr>
      <w:tr w14:paraId="53335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7799" w:type="dxa"/>
            <w:gridSpan w:val="8"/>
            <w:tcBorders>
              <w:top w:val="single" w:color="auto" w:sz="4" w:space="0"/>
              <w:left w:val="single" w:color="auto" w:sz="4" w:space="0"/>
              <w:bottom w:val="single" w:color="auto" w:sz="4" w:space="0"/>
              <w:right w:val="single" w:color="auto" w:sz="4" w:space="0"/>
            </w:tcBorders>
            <w:vAlign w:val="center"/>
          </w:tcPr>
          <w:p w14:paraId="36816474">
            <w:pPr>
              <w:spacing w:line="360" w:lineRule="auto"/>
              <w:jc w:val="center"/>
              <w:rPr>
                <w:rFonts w:ascii="宋体" w:hAnsi="宋体"/>
                <w:szCs w:val="21"/>
              </w:rPr>
            </w:pPr>
            <w:r>
              <w:rPr>
                <w:rFonts w:hint="eastAsia" w:ascii="宋体" w:hAnsi="宋体"/>
                <w:szCs w:val="21"/>
              </w:rPr>
              <w:t>相关方资料清单</w:t>
            </w:r>
          </w:p>
        </w:tc>
        <w:tc>
          <w:tcPr>
            <w:tcW w:w="2335" w:type="dxa"/>
            <w:tcBorders>
              <w:top w:val="single" w:color="auto" w:sz="4" w:space="0"/>
              <w:left w:val="nil"/>
              <w:bottom w:val="single" w:color="auto" w:sz="4" w:space="0"/>
              <w:right w:val="single" w:color="auto" w:sz="4" w:space="0"/>
            </w:tcBorders>
            <w:vAlign w:val="center"/>
          </w:tcPr>
          <w:p w14:paraId="2D411EA0">
            <w:pPr>
              <w:spacing w:line="360" w:lineRule="auto"/>
              <w:jc w:val="center"/>
              <w:rPr>
                <w:rFonts w:ascii="宋体" w:hAnsi="宋体"/>
                <w:szCs w:val="21"/>
              </w:rPr>
            </w:pPr>
            <w:r>
              <w:rPr>
                <w:rFonts w:hint="eastAsia" w:ascii="宋体" w:hAnsi="宋体"/>
                <w:szCs w:val="21"/>
              </w:rPr>
              <w:t>核实情况</w:t>
            </w:r>
          </w:p>
          <w:p w14:paraId="557E44C7">
            <w:pPr>
              <w:spacing w:line="360" w:lineRule="auto"/>
              <w:jc w:val="center"/>
              <w:rPr>
                <w:rFonts w:ascii="宋体" w:hAnsi="宋体"/>
                <w:szCs w:val="21"/>
              </w:rPr>
            </w:pPr>
            <w:r>
              <w:rPr>
                <w:rFonts w:hint="eastAsia" w:ascii="宋体" w:hAnsi="宋体"/>
                <w:szCs w:val="21"/>
              </w:rPr>
              <w:t>（有√ 不涉及×）</w:t>
            </w:r>
          </w:p>
        </w:tc>
      </w:tr>
      <w:tr w14:paraId="4485A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 w:hRule="atLeast"/>
          <w:jc w:val="center"/>
        </w:trPr>
        <w:tc>
          <w:tcPr>
            <w:tcW w:w="7799" w:type="dxa"/>
            <w:gridSpan w:val="8"/>
            <w:tcBorders>
              <w:top w:val="single" w:color="auto" w:sz="4" w:space="0"/>
              <w:left w:val="single" w:color="auto" w:sz="4" w:space="0"/>
              <w:bottom w:val="single" w:color="auto" w:sz="4" w:space="0"/>
              <w:right w:val="single" w:color="auto" w:sz="4" w:space="0"/>
            </w:tcBorders>
            <w:vAlign w:val="center"/>
          </w:tcPr>
          <w:p w14:paraId="35E6BECC">
            <w:pPr>
              <w:widowControl/>
              <w:jc w:val="left"/>
              <w:rPr>
                <w:rFonts w:ascii="宋体" w:hAnsi="宋体"/>
                <w:szCs w:val="21"/>
              </w:rPr>
            </w:pPr>
            <w:r>
              <w:rPr>
                <w:rFonts w:hint="eastAsia" w:ascii="宋体" w:hAnsi="宋体"/>
                <w:szCs w:val="21"/>
              </w:rPr>
              <w:t>1.营业执照或经营许可证、相关安全资质</w:t>
            </w:r>
          </w:p>
        </w:tc>
        <w:tc>
          <w:tcPr>
            <w:tcW w:w="2335" w:type="dxa"/>
            <w:tcBorders>
              <w:top w:val="single" w:color="auto" w:sz="4" w:space="0"/>
              <w:left w:val="nil"/>
              <w:bottom w:val="single" w:color="auto" w:sz="4" w:space="0"/>
              <w:right w:val="single" w:color="auto" w:sz="4" w:space="0"/>
            </w:tcBorders>
            <w:vAlign w:val="center"/>
          </w:tcPr>
          <w:p w14:paraId="5C791316">
            <w:pPr>
              <w:spacing w:line="360" w:lineRule="auto"/>
              <w:rPr>
                <w:rFonts w:ascii="宋体" w:hAnsi="宋体"/>
                <w:szCs w:val="21"/>
              </w:rPr>
            </w:pPr>
          </w:p>
        </w:tc>
      </w:tr>
      <w:tr w14:paraId="0E121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7799" w:type="dxa"/>
            <w:gridSpan w:val="8"/>
            <w:tcBorders>
              <w:top w:val="single" w:color="auto" w:sz="4" w:space="0"/>
              <w:left w:val="single" w:color="auto" w:sz="4" w:space="0"/>
              <w:bottom w:val="single" w:color="auto" w:sz="4" w:space="0"/>
              <w:right w:val="single" w:color="auto" w:sz="4" w:space="0"/>
            </w:tcBorders>
            <w:vAlign w:val="center"/>
          </w:tcPr>
          <w:p w14:paraId="6B9CDE73">
            <w:pPr>
              <w:spacing w:line="360" w:lineRule="auto"/>
              <w:jc w:val="left"/>
              <w:rPr>
                <w:rFonts w:ascii="宋体" w:hAnsi="宋体"/>
                <w:szCs w:val="21"/>
              </w:rPr>
            </w:pPr>
            <w:r>
              <w:rPr>
                <w:rFonts w:hint="eastAsia" w:ascii="宋体" w:hAnsi="宋体"/>
                <w:szCs w:val="21"/>
              </w:rPr>
              <w:t>2.法人授权书（如需）</w:t>
            </w:r>
          </w:p>
        </w:tc>
        <w:tc>
          <w:tcPr>
            <w:tcW w:w="2335" w:type="dxa"/>
            <w:tcBorders>
              <w:top w:val="single" w:color="auto" w:sz="4" w:space="0"/>
              <w:left w:val="nil"/>
              <w:bottom w:val="single" w:color="auto" w:sz="4" w:space="0"/>
              <w:right w:val="single" w:color="auto" w:sz="4" w:space="0"/>
            </w:tcBorders>
            <w:vAlign w:val="center"/>
          </w:tcPr>
          <w:p w14:paraId="671D68C4">
            <w:pPr>
              <w:spacing w:line="360" w:lineRule="auto"/>
              <w:rPr>
                <w:rFonts w:ascii="宋体" w:hAnsi="宋体"/>
                <w:szCs w:val="21"/>
              </w:rPr>
            </w:pPr>
          </w:p>
        </w:tc>
      </w:tr>
      <w:tr w14:paraId="37EE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7799" w:type="dxa"/>
            <w:gridSpan w:val="8"/>
            <w:tcBorders>
              <w:top w:val="single" w:color="auto" w:sz="4" w:space="0"/>
              <w:left w:val="single" w:color="auto" w:sz="4" w:space="0"/>
              <w:bottom w:val="single" w:color="auto" w:sz="4" w:space="0"/>
              <w:right w:val="single" w:color="auto" w:sz="4" w:space="0"/>
            </w:tcBorders>
            <w:vAlign w:val="center"/>
          </w:tcPr>
          <w:p w14:paraId="357BA2E0">
            <w:pPr>
              <w:spacing w:line="360" w:lineRule="auto"/>
              <w:jc w:val="left"/>
              <w:rPr>
                <w:rFonts w:ascii="宋体" w:hAnsi="宋体"/>
                <w:szCs w:val="21"/>
              </w:rPr>
            </w:pPr>
            <w:r>
              <w:rPr>
                <w:rFonts w:hint="eastAsia" w:ascii="宋体" w:hAnsi="宋体"/>
                <w:szCs w:val="21"/>
              </w:rPr>
              <w:t>3.相关方安全、环保、消防责任书</w:t>
            </w:r>
          </w:p>
        </w:tc>
        <w:tc>
          <w:tcPr>
            <w:tcW w:w="2335" w:type="dxa"/>
            <w:tcBorders>
              <w:top w:val="single" w:color="auto" w:sz="4" w:space="0"/>
              <w:left w:val="nil"/>
              <w:bottom w:val="single" w:color="auto" w:sz="4" w:space="0"/>
              <w:right w:val="single" w:color="auto" w:sz="4" w:space="0"/>
            </w:tcBorders>
            <w:vAlign w:val="center"/>
          </w:tcPr>
          <w:p w14:paraId="25523A99">
            <w:pPr>
              <w:spacing w:line="360" w:lineRule="auto"/>
              <w:rPr>
                <w:rFonts w:ascii="宋体" w:hAnsi="宋体"/>
                <w:szCs w:val="21"/>
              </w:rPr>
            </w:pPr>
          </w:p>
        </w:tc>
      </w:tr>
      <w:tr w14:paraId="188D2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7799" w:type="dxa"/>
            <w:gridSpan w:val="8"/>
            <w:tcBorders>
              <w:top w:val="single" w:color="auto" w:sz="4" w:space="0"/>
              <w:left w:val="single" w:color="auto" w:sz="4" w:space="0"/>
              <w:bottom w:val="single" w:color="auto" w:sz="4" w:space="0"/>
              <w:right w:val="single" w:color="auto" w:sz="4" w:space="0"/>
            </w:tcBorders>
            <w:vAlign w:val="center"/>
          </w:tcPr>
          <w:p w14:paraId="5DDC6351">
            <w:pPr>
              <w:spacing w:line="360" w:lineRule="auto"/>
              <w:jc w:val="left"/>
              <w:rPr>
                <w:rFonts w:ascii="宋体" w:hAnsi="宋体"/>
                <w:szCs w:val="21"/>
              </w:rPr>
            </w:pPr>
            <w:r>
              <w:rPr>
                <w:rFonts w:hint="eastAsia" w:ascii="宋体" w:hAnsi="宋体"/>
                <w:szCs w:val="21"/>
              </w:rPr>
              <w:t>4.入港人员清单（提供人员身份证复印件、操作资格证书复印件，安全管理人员安全管理资格证书1 级单位必备）</w:t>
            </w:r>
          </w:p>
        </w:tc>
        <w:tc>
          <w:tcPr>
            <w:tcW w:w="2335" w:type="dxa"/>
            <w:tcBorders>
              <w:top w:val="single" w:color="auto" w:sz="4" w:space="0"/>
              <w:left w:val="nil"/>
              <w:bottom w:val="single" w:color="auto" w:sz="4" w:space="0"/>
              <w:right w:val="single" w:color="auto" w:sz="4" w:space="0"/>
            </w:tcBorders>
            <w:vAlign w:val="center"/>
          </w:tcPr>
          <w:p w14:paraId="7964391C">
            <w:pPr>
              <w:spacing w:line="360" w:lineRule="auto"/>
              <w:rPr>
                <w:rFonts w:ascii="宋体" w:hAnsi="宋体"/>
                <w:szCs w:val="21"/>
              </w:rPr>
            </w:pPr>
          </w:p>
        </w:tc>
      </w:tr>
      <w:tr w14:paraId="5E7F5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7799" w:type="dxa"/>
            <w:gridSpan w:val="8"/>
            <w:tcBorders>
              <w:top w:val="single" w:color="auto" w:sz="4" w:space="0"/>
              <w:left w:val="single" w:color="auto" w:sz="4" w:space="0"/>
              <w:bottom w:val="single" w:color="auto" w:sz="4" w:space="0"/>
              <w:right w:val="single" w:color="auto" w:sz="4" w:space="0"/>
            </w:tcBorders>
            <w:vAlign w:val="center"/>
          </w:tcPr>
          <w:p w14:paraId="3F925C32">
            <w:pPr>
              <w:spacing w:line="360" w:lineRule="auto"/>
              <w:jc w:val="left"/>
              <w:rPr>
                <w:rFonts w:ascii="宋体" w:hAnsi="宋体"/>
                <w:szCs w:val="21"/>
              </w:rPr>
            </w:pPr>
            <w:r>
              <w:rPr>
                <w:rFonts w:hint="eastAsia" w:ascii="宋体" w:hAnsi="宋体"/>
                <w:szCs w:val="21"/>
              </w:rPr>
              <w:t>5.机械车辆清单（提供机械合格证书和年检证书复印件、行驶证复印件等）</w:t>
            </w:r>
          </w:p>
        </w:tc>
        <w:tc>
          <w:tcPr>
            <w:tcW w:w="2335" w:type="dxa"/>
            <w:tcBorders>
              <w:top w:val="single" w:color="auto" w:sz="4" w:space="0"/>
              <w:left w:val="nil"/>
              <w:bottom w:val="single" w:color="auto" w:sz="4" w:space="0"/>
              <w:right w:val="single" w:color="auto" w:sz="4" w:space="0"/>
            </w:tcBorders>
            <w:vAlign w:val="center"/>
          </w:tcPr>
          <w:p w14:paraId="34CF927B">
            <w:pPr>
              <w:spacing w:line="360" w:lineRule="auto"/>
              <w:rPr>
                <w:rFonts w:ascii="宋体" w:hAnsi="宋体"/>
                <w:szCs w:val="21"/>
              </w:rPr>
            </w:pPr>
          </w:p>
        </w:tc>
      </w:tr>
      <w:tr w14:paraId="24F4C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7799" w:type="dxa"/>
            <w:gridSpan w:val="8"/>
            <w:tcBorders>
              <w:top w:val="single" w:color="auto" w:sz="4" w:space="0"/>
              <w:left w:val="single" w:color="auto" w:sz="4" w:space="0"/>
              <w:bottom w:val="single" w:color="auto" w:sz="4" w:space="0"/>
              <w:right w:val="single" w:color="auto" w:sz="4" w:space="0"/>
            </w:tcBorders>
            <w:vAlign w:val="center"/>
          </w:tcPr>
          <w:p w14:paraId="251F7AE5">
            <w:pPr>
              <w:spacing w:line="360" w:lineRule="auto"/>
              <w:jc w:val="left"/>
              <w:rPr>
                <w:rFonts w:ascii="宋体" w:hAnsi="宋体"/>
                <w:szCs w:val="21"/>
              </w:rPr>
            </w:pPr>
            <w:r>
              <w:rPr>
                <w:rFonts w:hint="eastAsia" w:ascii="宋体" w:hAnsi="宋体"/>
                <w:szCs w:val="21"/>
              </w:rPr>
              <w:t>6.入港安全培训或安全交底培训</w:t>
            </w:r>
          </w:p>
        </w:tc>
        <w:tc>
          <w:tcPr>
            <w:tcW w:w="2335" w:type="dxa"/>
            <w:tcBorders>
              <w:top w:val="single" w:color="auto" w:sz="4" w:space="0"/>
              <w:left w:val="nil"/>
              <w:bottom w:val="single" w:color="auto" w:sz="4" w:space="0"/>
              <w:right w:val="single" w:color="auto" w:sz="4" w:space="0"/>
            </w:tcBorders>
            <w:vAlign w:val="center"/>
          </w:tcPr>
          <w:p w14:paraId="6BB05473">
            <w:pPr>
              <w:spacing w:line="360" w:lineRule="auto"/>
              <w:rPr>
                <w:rFonts w:ascii="宋体" w:hAnsi="宋体"/>
                <w:szCs w:val="21"/>
              </w:rPr>
            </w:pPr>
          </w:p>
        </w:tc>
      </w:tr>
      <w:tr w14:paraId="2B40E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7799" w:type="dxa"/>
            <w:gridSpan w:val="8"/>
            <w:tcBorders>
              <w:top w:val="single" w:color="auto" w:sz="4" w:space="0"/>
              <w:left w:val="single" w:color="auto" w:sz="4" w:space="0"/>
              <w:bottom w:val="single" w:color="auto" w:sz="4" w:space="0"/>
              <w:right w:val="single" w:color="auto" w:sz="4" w:space="0"/>
            </w:tcBorders>
            <w:vAlign w:val="center"/>
          </w:tcPr>
          <w:p w14:paraId="62BC94D6">
            <w:pPr>
              <w:spacing w:line="360" w:lineRule="auto"/>
              <w:jc w:val="left"/>
              <w:rPr>
                <w:rFonts w:ascii="宋体" w:hAnsi="宋体"/>
                <w:szCs w:val="21"/>
              </w:rPr>
            </w:pPr>
            <w:r>
              <w:rPr>
                <w:rFonts w:hint="eastAsia" w:ascii="宋体" w:hAnsi="宋体"/>
                <w:szCs w:val="21"/>
              </w:rPr>
              <w:t>7.特殊作业培训考试记录（如需）</w:t>
            </w:r>
          </w:p>
        </w:tc>
        <w:tc>
          <w:tcPr>
            <w:tcW w:w="2335" w:type="dxa"/>
            <w:tcBorders>
              <w:top w:val="single" w:color="auto" w:sz="4" w:space="0"/>
              <w:left w:val="nil"/>
              <w:bottom w:val="single" w:color="auto" w:sz="4" w:space="0"/>
              <w:right w:val="single" w:color="auto" w:sz="4" w:space="0"/>
            </w:tcBorders>
            <w:vAlign w:val="center"/>
          </w:tcPr>
          <w:p w14:paraId="236FC07A">
            <w:pPr>
              <w:spacing w:line="360" w:lineRule="auto"/>
              <w:jc w:val="center"/>
              <w:rPr>
                <w:rFonts w:ascii="宋体" w:hAnsi="宋体"/>
                <w:szCs w:val="21"/>
              </w:rPr>
            </w:pPr>
          </w:p>
        </w:tc>
      </w:tr>
      <w:tr w14:paraId="7BD6C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7799" w:type="dxa"/>
            <w:gridSpan w:val="8"/>
            <w:tcBorders>
              <w:top w:val="single" w:color="auto" w:sz="4" w:space="0"/>
              <w:left w:val="single" w:color="auto" w:sz="4" w:space="0"/>
              <w:bottom w:val="single" w:color="auto" w:sz="4" w:space="0"/>
              <w:right w:val="single" w:color="auto" w:sz="4" w:space="0"/>
            </w:tcBorders>
            <w:vAlign w:val="center"/>
          </w:tcPr>
          <w:p w14:paraId="1F3E4EC5">
            <w:pPr>
              <w:spacing w:line="360" w:lineRule="auto"/>
              <w:jc w:val="left"/>
              <w:rPr>
                <w:rFonts w:ascii="宋体" w:hAnsi="宋体"/>
                <w:szCs w:val="21"/>
              </w:rPr>
            </w:pPr>
            <w:r>
              <w:rPr>
                <w:rFonts w:hint="eastAsia" w:ascii="宋体" w:hAnsi="宋体"/>
                <w:szCs w:val="21"/>
              </w:rPr>
              <w:t>8.三级教育培训记录、职业病体检报告（如需，1 级单位必备）</w:t>
            </w:r>
          </w:p>
        </w:tc>
        <w:tc>
          <w:tcPr>
            <w:tcW w:w="2335" w:type="dxa"/>
            <w:tcBorders>
              <w:top w:val="single" w:color="auto" w:sz="4" w:space="0"/>
              <w:left w:val="nil"/>
              <w:bottom w:val="single" w:color="auto" w:sz="4" w:space="0"/>
              <w:right w:val="single" w:color="auto" w:sz="4" w:space="0"/>
            </w:tcBorders>
            <w:vAlign w:val="center"/>
          </w:tcPr>
          <w:p w14:paraId="416E0164">
            <w:pPr>
              <w:spacing w:line="360" w:lineRule="auto"/>
              <w:jc w:val="center"/>
              <w:rPr>
                <w:rFonts w:ascii="宋体" w:hAnsi="宋体"/>
                <w:szCs w:val="21"/>
              </w:rPr>
            </w:pPr>
          </w:p>
        </w:tc>
      </w:tr>
      <w:tr w14:paraId="0D7FC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7799" w:type="dxa"/>
            <w:gridSpan w:val="8"/>
            <w:tcBorders>
              <w:top w:val="single" w:color="auto" w:sz="4" w:space="0"/>
              <w:left w:val="single" w:color="auto" w:sz="4" w:space="0"/>
              <w:bottom w:val="single" w:color="auto" w:sz="4" w:space="0"/>
              <w:right w:val="single" w:color="auto" w:sz="4" w:space="0"/>
            </w:tcBorders>
            <w:vAlign w:val="center"/>
          </w:tcPr>
          <w:p w14:paraId="013D324A">
            <w:pPr>
              <w:spacing w:line="360" w:lineRule="auto"/>
              <w:jc w:val="left"/>
              <w:rPr>
                <w:rFonts w:ascii="宋体" w:hAnsi="宋体"/>
                <w:szCs w:val="21"/>
              </w:rPr>
            </w:pPr>
            <w:r>
              <w:rPr>
                <w:rFonts w:hint="eastAsia" w:ascii="宋体" w:hAnsi="宋体"/>
                <w:szCs w:val="21"/>
              </w:rPr>
              <w:t>9.组织机构、安全管理制度、操作规程（如需，1 级单位必备）</w:t>
            </w:r>
          </w:p>
        </w:tc>
        <w:tc>
          <w:tcPr>
            <w:tcW w:w="2335" w:type="dxa"/>
            <w:tcBorders>
              <w:top w:val="single" w:color="auto" w:sz="4" w:space="0"/>
              <w:left w:val="nil"/>
              <w:bottom w:val="single" w:color="auto" w:sz="4" w:space="0"/>
              <w:right w:val="single" w:color="auto" w:sz="4" w:space="0"/>
            </w:tcBorders>
            <w:vAlign w:val="center"/>
          </w:tcPr>
          <w:p w14:paraId="3625C902">
            <w:pPr>
              <w:spacing w:line="360" w:lineRule="auto"/>
              <w:jc w:val="center"/>
              <w:rPr>
                <w:rFonts w:ascii="宋体" w:hAnsi="宋体"/>
                <w:szCs w:val="21"/>
              </w:rPr>
            </w:pPr>
          </w:p>
        </w:tc>
      </w:tr>
      <w:tr w14:paraId="36DEC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0134" w:type="dxa"/>
            <w:gridSpan w:val="9"/>
            <w:tcBorders>
              <w:top w:val="single" w:color="auto" w:sz="4" w:space="0"/>
              <w:left w:val="single" w:color="auto" w:sz="4" w:space="0"/>
              <w:bottom w:val="single" w:color="auto" w:sz="4" w:space="0"/>
              <w:right w:val="single" w:color="auto" w:sz="4" w:space="0"/>
            </w:tcBorders>
          </w:tcPr>
          <w:p w14:paraId="0522DF1A">
            <w:pPr>
              <w:spacing w:line="360" w:lineRule="auto"/>
              <w:rPr>
                <w:rFonts w:ascii="宋体" w:hAnsi="宋体"/>
                <w:szCs w:val="21"/>
              </w:rPr>
            </w:pPr>
            <w:r>
              <w:rPr>
                <w:rFonts w:hint="eastAsia" w:ascii="宋体" w:hAnsi="宋体"/>
                <w:szCs w:val="21"/>
              </w:rPr>
              <w:t>10.其他需要备案的资料：</w:t>
            </w:r>
          </w:p>
        </w:tc>
      </w:tr>
      <w:tr w14:paraId="2F6D3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2775" w:type="dxa"/>
            <w:gridSpan w:val="3"/>
            <w:tcBorders>
              <w:top w:val="single" w:color="auto" w:sz="4" w:space="0"/>
              <w:left w:val="single" w:color="auto" w:sz="4" w:space="0"/>
              <w:bottom w:val="single" w:color="auto" w:sz="4" w:space="0"/>
              <w:right w:val="single" w:color="auto" w:sz="4" w:space="0"/>
            </w:tcBorders>
            <w:vAlign w:val="center"/>
          </w:tcPr>
          <w:p w14:paraId="147517FD">
            <w:pPr>
              <w:spacing w:line="360" w:lineRule="auto"/>
              <w:jc w:val="center"/>
              <w:rPr>
                <w:rFonts w:ascii="宋体" w:hAnsi="宋体"/>
                <w:szCs w:val="21"/>
              </w:rPr>
            </w:pPr>
            <w:r>
              <w:rPr>
                <w:rFonts w:hint="eastAsia" w:ascii="宋体" w:hAnsi="宋体"/>
                <w:szCs w:val="21"/>
              </w:rPr>
              <w:t>归口部门审核签字</w:t>
            </w:r>
          </w:p>
        </w:tc>
        <w:tc>
          <w:tcPr>
            <w:tcW w:w="2146" w:type="dxa"/>
            <w:gridSpan w:val="2"/>
            <w:tcBorders>
              <w:top w:val="single" w:color="auto" w:sz="4" w:space="0"/>
              <w:left w:val="nil"/>
              <w:bottom w:val="single" w:color="auto" w:sz="4" w:space="0"/>
              <w:right w:val="single" w:color="auto" w:sz="4" w:space="0"/>
            </w:tcBorders>
            <w:vAlign w:val="center"/>
          </w:tcPr>
          <w:p w14:paraId="3A77C6EE">
            <w:pPr>
              <w:spacing w:line="360" w:lineRule="auto"/>
              <w:jc w:val="center"/>
              <w:rPr>
                <w:rFonts w:ascii="宋体" w:hAnsi="宋体"/>
                <w:szCs w:val="21"/>
              </w:rPr>
            </w:pPr>
          </w:p>
        </w:tc>
        <w:tc>
          <w:tcPr>
            <w:tcW w:w="2183" w:type="dxa"/>
            <w:gridSpan w:val="2"/>
            <w:tcBorders>
              <w:top w:val="single" w:color="auto" w:sz="4" w:space="0"/>
              <w:left w:val="nil"/>
              <w:bottom w:val="single" w:color="auto" w:sz="4" w:space="0"/>
              <w:right w:val="single" w:color="auto" w:sz="4" w:space="0"/>
            </w:tcBorders>
            <w:vAlign w:val="center"/>
          </w:tcPr>
          <w:p w14:paraId="013CF69A">
            <w:pPr>
              <w:spacing w:line="360" w:lineRule="auto"/>
              <w:jc w:val="center"/>
              <w:rPr>
                <w:rFonts w:ascii="宋体" w:hAnsi="宋体"/>
                <w:szCs w:val="21"/>
              </w:rPr>
            </w:pPr>
            <w:r>
              <w:rPr>
                <w:rFonts w:hint="eastAsia" w:ascii="宋体" w:hAnsi="宋体"/>
                <w:szCs w:val="21"/>
              </w:rPr>
              <w:t>审核时间</w:t>
            </w:r>
          </w:p>
        </w:tc>
        <w:tc>
          <w:tcPr>
            <w:tcW w:w="3029" w:type="dxa"/>
            <w:gridSpan w:val="2"/>
            <w:tcBorders>
              <w:top w:val="single" w:color="auto" w:sz="4" w:space="0"/>
              <w:left w:val="nil"/>
              <w:bottom w:val="single" w:color="auto" w:sz="4" w:space="0"/>
              <w:right w:val="single" w:color="auto" w:sz="4" w:space="0"/>
            </w:tcBorders>
            <w:vAlign w:val="center"/>
          </w:tcPr>
          <w:p w14:paraId="3F241E0F">
            <w:pPr>
              <w:spacing w:line="360" w:lineRule="auto"/>
              <w:jc w:val="center"/>
              <w:rPr>
                <w:rFonts w:ascii="宋体" w:hAnsi="宋体"/>
                <w:szCs w:val="21"/>
              </w:rPr>
            </w:pPr>
          </w:p>
        </w:tc>
      </w:tr>
      <w:tr w14:paraId="662E9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2775" w:type="dxa"/>
            <w:gridSpan w:val="3"/>
            <w:tcBorders>
              <w:top w:val="single" w:color="auto" w:sz="4" w:space="0"/>
              <w:left w:val="single" w:color="auto" w:sz="4" w:space="0"/>
              <w:bottom w:val="single" w:color="auto" w:sz="4" w:space="0"/>
              <w:right w:val="single" w:color="auto" w:sz="4" w:space="0"/>
            </w:tcBorders>
            <w:vAlign w:val="center"/>
          </w:tcPr>
          <w:p w14:paraId="7C174666">
            <w:pPr>
              <w:spacing w:line="360" w:lineRule="auto"/>
              <w:jc w:val="center"/>
              <w:rPr>
                <w:rFonts w:ascii="宋体" w:hAnsi="宋体"/>
                <w:szCs w:val="21"/>
              </w:rPr>
            </w:pPr>
            <w:r>
              <w:rPr>
                <w:rFonts w:hint="eastAsia" w:ascii="宋体" w:hAnsi="宋体"/>
                <w:szCs w:val="21"/>
              </w:rPr>
              <w:t>安全卫环部审核签字</w:t>
            </w:r>
          </w:p>
        </w:tc>
        <w:tc>
          <w:tcPr>
            <w:tcW w:w="2146" w:type="dxa"/>
            <w:gridSpan w:val="2"/>
            <w:tcBorders>
              <w:top w:val="single" w:color="auto" w:sz="4" w:space="0"/>
              <w:left w:val="nil"/>
              <w:bottom w:val="single" w:color="auto" w:sz="4" w:space="0"/>
              <w:right w:val="single" w:color="auto" w:sz="4" w:space="0"/>
            </w:tcBorders>
            <w:vAlign w:val="center"/>
          </w:tcPr>
          <w:p w14:paraId="62F78C94">
            <w:pPr>
              <w:spacing w:line="360" w:lineRule="auto"/>
              <w:jc w:val="center"/>
              <w:rPr>
                <w:rFonts w:ascii="宋体" w:hAnsi="宋体"/>
                <w:szCs w:val="21"/>
              </w:rPr>
            </w:pPr>
          </w:p>
        </w:tc>
        <w:tc>
          <w:tcPr>
            <w:tcW w:w="2183" w:type="dxa"/>
            <w:gridSpan w:val="2"/>
            <w:tcBorders>
              <w:top w:val="single" w:color="auto" w:sz="4" w:space="0"/>
              <w:left w:val="nil"/>
              <w:bottom w:val="single" w:color="auto" w:sz="4" w:space="0"/>
              <w:right w:val="single" w:color="auto" w:sz="4" w:space="0"/>
            </w:tcBorders>
            <w:vAlign w:val="center"/>
          </w:tcPr>
          <w:p w14:paraId="49196A1D">
            <w:pPr>
              <w:spacing w:line="360" w:lineRule="auto"/>
              <w:jc w:val="center"/>
              <w:rPr>
                <w:rFonts w:ascii="宋体" w:hAnsi="宋体"/>
                <w:szCs w:val="21"/>
              </w:rPr>
            </w:pPr>
            <w:r>
              <w:rPr>
                <w:rFonts w:hint="eastAsia" w:ascii="宋体" w:hAnsi="宋体"/>
                <w:szCs w:val="21"/>
              </w:rPr>
              <w:t>审核时间</w:t>
            </w:r>
          </w:p>
        </w:tc>
        <w:tc>
          <w:tcPr>
            <w:tcW w:w="3029" w:type="dxa"/>
            <w:gridSpan w:val="2"/>
            <w:tcBorders>
              <w:top w:val="single" w:color="auto" w:sz="4" w:space="0"/>
              <w:left w:val="nil"/>
              <w:bottom w:val="single" w:color="auto" w:sz="4" w:space="0"/>
              <w:right w:val="single" w:color="auto" w:sz="4" w:space="0"/>
            </w:tcBorders>
            <w:vAlign w:val="center"/>
          </w:tcPr>
          <w:p w14:paraId="0F3E3CB1">
            <w:pPr>
              <w:spacing w:line="360" w:lineRule="auto"/>
              <w:jc w:val="center"/>
              <w:rPr>
                <w:rFonts w:ascii="宋体" w:hAnsi="宋体"/>
                <w:szCs w:val="21"/>
              </w:rPr>
            </w:pPr>
          </w:p>
        </w:tc>
      </w:tr>
    </w:tbl>
    <w:p w14:paraId="5189A624">
      <w:pPr>
        <w:spacing w:line="300" w:lineRule="exact"/>
        <w:rPr>
          <w:rFonts w:ascii="宋体" w:hAnsi="宋体"/>
          <w:b/>
          <w:szCs w:val="21"/>
        </w:rPr>
      </w:pPr>
      <w:r>
        <w:rPr>
          <w:rFonts w:hint="eastAsia" w:ascii="宋体" w:hAnsi="宋体"/>
          <w:b/>
          <w:szCs w:val="21"/>
        </w:rPr>
        <w:t>注：以上提供内容及所附其他材料必须真实有效，若有虚假，由此引发的一切后果及法律责任由相关方单位承担。</w:t>
      </w:r>
    </w:p>
    <w:p w14:paraId="032A7001">
      <w:pPr>
        <w:spacing w:line="300" w:lineRule="exact"/>
        <w:jc w:val="center"/>
        <w:rPr>
          <w:rFonts w:ascii="宋体" w:hAnsi="宋体"/>
          <w:b/>
          <w:szCs w:val="21"/>
        </w:rPr>
      </w:pPr>
      <w:r>
        <w:rPr>
          <w:rFonts w:hint="eastAsia" w:ascii="宋体" w:hAnsi="宋体"/>
          <w:b/>
          <w:szCs w:val="21"/>
        </w:rPr>
        <w:br w:type="page"/>
      </w:r>
      <w:r>
        <w:rPr>
          <w:rFonts w:hint="eastAsia" w:ascii="宋体" w:hAnsi="宋体"/>
          <w:b/>
          <w:szCs w:val="21"/>
        </w:rPr>
        <w:t>相关方人员备案清单</w:t>
      </w:r>
    </w:p>
    <w:p w14:paraId="4403A694">
      <w:pPr>
        <w:spacing w:line="300" w:lineRule="exact"/>
        <w:jc w:val="center"/>
        <w:rPr>
          <w:rFonts w:ascii="宋体" w:hAnsi="宋体"/>
          <w:b/>
          <w:szCs w:val="21"/>
        </w:rPr>
      </w:pPr>
      <w:r>
        <w:rPr>
          <w:rFonts w:hint="eastAsia" w:ascii="宋体" w:hAnsi="宋体"/>
          <w:b/>
          <w:szCs w:val="21"/>
        </w:rPr>
        <w:t xml:space="preserve"> </w:t>
      </w:r>
    </w:p>
    <w:p w14:paraId="4B75931F">
      <w:pPr>
        <w:spacing w:line="300" w:lineRule="exact"/>
        <w:rPr>
          <w:rFonts w:ascii="宋体" w:hAnsi="宋体"/>
          <w:b/>
          <w:szCs w:val="21"/>
        </w:rPr>
      </w:pPr>
      <w:r>
        <w:rPr>
          <w:rFonts w:hint="eastAsia" w:ascii="宋体" w:hAnsi="宋体"/>
          <w:b/>
          <w:szCs w:val="21"/>
        </w:rPr>
        <w:t>相关方单位名称（盖章）：                                    进港时间：</w:t>
      </w:r>
    </w:p>
    <w:tbl>
      <w:tblPr>
        <w:tblStyle w:val="28"/>
        <w:tblW w:w="107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1107"/>
        <w:gridCol w:w="1892"/>
        <w:gridCol w:w="1500"/>
        <w:gridCol w:w="1320"/>
        <w:gridCol w:w="2550"/>
        <w:gridCol w:w="1586"/>
      </w:tblGrid>
      <w:tr w14:paraId="5CDAE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61" w:type="dxa"/>
            <w:tcBorders>
              <w:top w:val="single" w:color="auto" w:sz="4" w:space="0"/>
              <w:left w:val="single" w:color="auto" w:sz="4" w:space="0"/>
              <w:bottom w:val="single" w:color="auto" w:sz="4" w:space="0"/>
              <w:right w:val="single" w:color="auto" w:sz="4" w:space="0"/>
            </w:tcBorders>
            <w:vAlign w:val="center"/>
          </w:tcPr>
          <w:p w14:paraId="080D40DB">
            <w:pPr>
              <w:spacing w:line="360" w:lineRule="auto"/>
              <w:jc w:val="center"/>
              <w:rPr>
                <w:rFonts w:ascii="宋体" w:hAnsi="宋体"/>
                <w:szCs w:val="21"/>
              </w:rPr>
            </w:pPr>
            <w:r>
              <w:rPr>
                <w:rFonts w:hint="eastAsia" w:ascii="宋体" w:hAnsi="宋体"/>
                <w:szCs w:val="21"/>
              </w:rPr>
              <w:t>序号</w:t>
            </w:r>
          </w:p>
        </w:tc>
        <w:tc>
          <w:tcPr>
            <w:tcW w:w="1107" w:type="dxa"/>
            <w:tcBorders>
              <w:top w:val="single" w:color="auto" w:sz="4" w:space="0"/>
              <w:left w:val="nil"/>
              <w:bottom w:val="single" w:color="auto" w:sz="4" w:space="0"/>
              <w:right w:val="single" w:color="auto" w:sz="4" w:space="0"/>
            </w:tcBorders>
            <w:vAlign w:val="center"/>
          </w:tcPr>
          <w:p w14:paraId="54A4222D">
            <w:pPr>
              <w:spacing w:line="360" w:lineRule="auto"/>
              <w:jc w:val="center"/>
              <w:rPr>
                <w:rFonts w:ascii="宋体" w:hAnsi="宋体"/>
                <w:szCs w:val="21"/>
              </w:rPr>
            </w:pPr>
            <w:r>
              <w:rPr>
                <w:rFonts w:hint="eastAsia" w:ascii="宋体" w:hAnsi="宋体"/>
                <w:szCs w:val="21"/>
              </w:rPr>
              <w:t>姓名</w:t>
            </w:r>
          </w:p>
        </w:tc>
        <w:tc>
          <w:tcPr>
            <w:tcW w:w="1892" w:type="dxa"/>
            <w:tcBorders>
              <w:top w:val="single" w:color="auto" w:sz="4" w:space="0"/>
              <w:left w:val="nil"/>
              <w:bottom w:val="single" w:color="auto" w:sz="4" w:space="0"/>
              <w:right w:val="single" w:color="auto" w:sz="4" w:space="0"/>
            </w:tcBorders>
            <w:vAlign w:val="center"/>
          </w:tcPr>
          <w:p w14:paraId="4BAE32C9">
            <w:pPr>
              <w:spacing w:line="360" w:lineRule="auto"/>
              <w:jc w:val="center"/>
              <w:rPr>
                <w:rFonts w:ascii="宋体" w:hAnsi="宋体"/>
                <w:szCs w:val="21"/>
              </w:rPr>
            </w:pPr>
            <w:r>
              <w:rPr>
                <w:rFonts w:hint="eastAsia" w:ascii="宋体" w:hAnsi="宋体"/>
                <w:szCs w:val="21"/>
              </w:rPr>
              <w:t>身份证号</w:t>
            </w:r>
          </w:p>
        </w:tc>
        <w:tc>
          <w:tcPr>
            <w:tcW w:w="1500" w:type="dxa"/>
            <w:tcBorders>
              <w:top w:val="single" w:color="auto" w:sz="4" w:space="0"/>
              <w:left w:val="nil"/>
              <w:bottom w:val="single" w:color="auto" w:sz="4" w:space="0"/>
              <w:right w:val="single" w:color="auto" w:sz="4" w:space="0"/>
            </w:tcBorders>
            <w:vAlign w:val="center"/>
          </w:tcPr>
          <w:p w14:paraId="5E1EFB5B">
            <w:pPr>
              <w:spacing w:line="360" w:lineRule="auto"/>
              <w:jc w:val="center"/>
              <w:rPr>
                <w:rFonts w:ascii="宋体" w:hAnsi="宋体"/>
                <w:szCs w:val="21"/>
              </w:rPr>
            </w:pPr>
            <w:r>
              <w:rPr>
                <w:rFonts w:hint="eastAsia" w:ascii="宋体" w:hAnsi="宋体"/>
                <w:szCs w:val="21"/>
              </w:rPr>
              <w:t>联系号码</w:t>
            </w:r>
          </w:p>
        </w:tc>
        <w:tc>
          <w:tcPr>
            <w:tcW w:w="1320" w:type="dxa"/>
            <w:tcBorders>
              <w:top w:val="single" w:color="auto" w:sz="4" w:space="0"/>
              <w:left w:val="nil"/>
              <w:bottom w:val="single" w:color="auto" w:sz="4" w:space="0"/>
              <w:right w:val="single" w:color="auto" w:sz="4" w:space="0"/>
            </w:tcBorders>
            <w:vAlign w:val="center"/>
          </w:tcPr>
          <w:p w14:paraId="5153B345">
            <w:pPr>
              <w:spacing w:line="360" w:lineRule="auto"/>
              <w:jc w:val="center"/>
              <w:rPr>
                <w:rFonts w:ascii="宋体" w:hAnsi="宋体"/>
                <w:szCs w:val="21"/>
              </w:rPr>
            </w:pPr>
            <w:r>
              <w:rPr>
                <w:rFonts w:hint="eastAsia" w:ascii="宋体" w:hAnsi="宋体"/>
                <w:szCs w:val="21"/>
              </w:rPr>
              <w:t>岗位</w:t>
            </w:r>
          </w:p>
        </w:tc>
        <w:tc>
          <w:tcPr>
            <w:tcW w:w="2550" w:type="dxa"/>
            <w:tcBorders>
              <w:top w:val="single" w:color="auto" w:sz="4" w:space="0"/>
              <w:left w:val="nil"/>
              <w:bottom w:val="single" w:color="auto" w:sz="4" w:space="0"/>
              <w:right w:val="single" w:color="auto" w:sz="4" w:space="0"/>
            </w:tcBorders>
            <w:vAlign w:val="center"/>
          </w:tcPr>
          <w:p w14:paraId="2C04EF9F">
            <w:pPr>
              <w:spacing w:line="360" w:lineRule="auto"/>
              <w:jc w:val="center"/>
              <w:rPr>
                <w:rFonts w:ascii="宋体" w:hAnsi="宋体"/>
                <w:szCs w:val="21"/>
              </w:rPr>
            </w:pPr>
            <w:r>
              <w:rPr>
                <w:rFonts w:hint="eastAsia" w:ascii="宋体" w:hAnsi="宋体"/>
                <w:szCs w:val="21"/>
              </w:rPr>
              <w:t>操作资格证书类型</w:t>
            </w:r>
          </w:p>
        </w:tc>
        <w:tc>
          <w:tcPr>
            <w:tcW w:w="1586" w:type="dxa"/>
            <w:tcBorders>
              <w:top w:val="single" w:color="auto" w:sz="4" w:space="0"/>
              <w:left w:val="nil"/>
              <w:bottom w:val="single" w:color="auto" w:sz="4" w:space="0"/>
              <w:right w:val="single" w:color="auto" w:sz="4" w:space="0"/>
            </w:tcBorders>
            <w:vAlign w:val="center"/>
          </w:tcPr>
          <w:p w14:paraId="25B87871">
            <w:pPr>
              <w:spacing w:line="360" w:lineRule="auto"/>
              <w:jc w:val="center"/>
              <w:rPr>
                <w:rFonts w:ascii="宋体" w:hAnsi="宋体"/>
                <w:szCs w:val="21"/>
              </w:rPr>
            </w:pPr>
            <w:r>
              <w:rPr>
                <w:rFonts w:hint="eastAsia" w:ascii="宋体" w:hAnsi="宋体"/>
                <w:szCs w:val="21"/>
              </w:rPr>
              <w:t>证件有效期</w:t>
            </w:r>
          </w:p>
        </w:tc>
      </w:tr>
      <w:tr w14:paraId="4BAEE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761" w:type="dxa"/>
            <w:tcBorders>
              <w:top w:val="single" w:color="auto" w:sz="4" w:space="0"/>
              <w:left w:val="single" w:color="auto" w:sz="4" w:space="0"/>
              <w:bottom w:val="single" w:color="auto" w:sz="4" w:space="0"/>
              <w:right w:val="single" w:color="auto" w:sz="4" w:space="0"/>
            </w:tcBorders>
          </w:tcPr>
          <w:p w14:paraId="09D4DC84">
            <w:pPr>
              <w:spacing w:line="360" w:lineRule="auto"/>
              <w:rPr>
                <w:rFonts w:ascii="宋体" w:hAnsi="宋体"/>
                <w:szCs w:val="21"/>
              </w:rPr>
            </w:pPr>
          </w:p>
        </w:tc>
        <w:tc>
          <w:tcPr>
            <w:tcW w:w="1107" w:type="dxa"/>
            <w:tcBorders>
              <w:top w:val="single" w:color="auto" w:sz="4" w:space="0"/>
              <w:left w:val="nil"/>
              <w:bottom w:val="single" w:color="auto" w:sz="4" w:space="0"/>
              <w:right w:val="single" w:color="auto" w:sz="4" w:space="0"/>
            </w:tcBorders>
            <w:vAlign w:val="center"/>
          </w:tcPr>
          <w:p w14:paraId="51635ED7">
            <w:pPr>
              <w:spacing w:line="360" w:lineRule="auto"/>
              <w:rPr>
                <w:rFonts w:ascii="宋体" w:hAnsi="宋体"/>
                <w:szCs w:val="21"/>
              </w:rPr>
            </w:pPr>
          </w:p>
        </w:tc>
        <w:tc>
          <w:tcPr>
            <w:tcW w:w="1892" w:type="dxa"/>
            <w:tcBorders>
              <w:top w:val="single" w:color="auto" w:sz="4" w:space="0"/>
              <w:left w:val="nil"/>
              <w:bottom w:val="single" w:color="auto" w:sz="4" w:space="0"/>
              <w:right w:val="single" w:color="auto" w:sz="4" w:space="0"/>
            </w:tcBorders>
            <w:vAlign w:val="center"/>
          </w:tcPr>
          <w:p w14:paraId="24C7E8DE">
            <w:pPr>
              <w:spacing w:line="360" w:lineRule="auto"/>
              <w:rPr>
                <w:rFonts w:ascii="宋体" w:hAnsi="宋体"/>
                <w:szCs w:val="21"/>
              </w:rPr>
            </w:pPr>
          </w:p>
        </w:tc>
        <w:tc>
          <w:tcPr>
            <w:tcW w:w="1500" w:type="dxa"/>
            <w:tcBorders>
              <w:top w:val="single" w:color="auto" w:sz="4" w:space="0"/>
              <w:left w:val="nil"/>
              <w:bottom w:val="single" w:color="auto" w:sz="4" w:space="0"/>
              <w:right w:val="single" w:color="auto" w:sz="4" w:space="0"/>
            </w:tcBorders>
            <w:vAlign w:val="center"/>
          </w:tcPr>
          <w:p w14:paraId="603B4AB9">
            <w:pPr>
              <w:spacing w:line="360" w:lineRule="auto"/>
              <w:rPr>
                <w:rFonts w:ascii="宋体" w:hAnsi="宋体"/>
                <w:szCs w:val="21"/>
              </w:rPr>
            </w:pPr>
          </w:p>
        </w:tc>
        <w:tc>
          <w:tcPr>
            <w:tcW w:w="1320" w:type="dxa"/>
            <w:tcBorders>
              <w:top w:val="single" w:color="auto" w:sz="4" w:space="0"/>
              <w:left w:val="nil"/>
              <w:bottom w:val="single" w:color="auto" w:sz="4" w:space="0"/>
              <w:right w:val="single" w:color="auto" w:sz="4" w:space="0"/>
            </w:tcBorders>
            <w:vAlign w:val="center"/>
          </w:tcPr>
          <w:p w14:paraId="72DCDFD3">
            <w:pPr>
              <w:spacing w:line="360" w:lineRule="auto"/>
              <w:rPr>
                <w:rFonts w:ascii="宋体" w:hAnsi="宋体"/>
                <w:szCs w:val="21"/>
              </w:rPr>
            </w:pPr>
          </w:p>
        </w:tc>
        <w:tc>
          <w:tcPr>
            <w:tcW w:w="2550" w:type="dxa"/>
            <w:tcBorders>
              <w:top w:val="single" w:color="auto" w:sz="4" w:space="0"/>
              <w:left w:val="nil"/>
              <w:bottom w:val="single" w:color="auto" w:sz="4" w:space="0"/>
              <w:right w:val="single" w:color="auto" w:sz="4" w:space="0"/>
            </w:tcBorders>
            <w:vAlign w:val="center"/>
          </w:tcPr>
          <w:p w14:paraId="7B829651">
            <w:pPr>
              <w:spacing w:line="360" w:lineRule="auto"/>
              <w:rPr>
                <w:rFonts w:ascii="宋体" w:hAnsi="宋体"/>
                <w:szCs w:val="21"/>
              </w:rPr>
            </w:pPr>
          </w:p>
        </w:tc>
        <w:tc>
          <w:tcPr>
            <w:tcW w:w="1586" w:type="dxa"/>
            <w:tcBorders>
              <w:top w:val="single" w:color="auto" w:sz="4" w:space="0"/>
              <w:left w:val="nil"/>
              <w:bottom w:val="single" w:color="auto" w:sz="4" w:space="0"/>
              <w:right w:val="single" w:color="auto" w:sz="4" w:space="0"/>
            </w:tcBorders>
            <w:vAlign w:val="center"/>
          </w:tcPr>
          <w:p w14:paraId="094D2100">
            <w:pPr>
              <w:spacing w:line="360" w:lineRule="auto"/>
              <w:rPr>
                <w:rFonts w:ascii="宋体" w:hAnsi="宋体"/>
                <w:szCs w:val="21"/>
              </w:rPr>
            </w:pPr>
          </w:p>
        </w:tc>
      </w:tr>
      <w:tr w14:paraId="672EA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tcBorders>
              <w:top w:val="single" w:color="auto" w:sz="4" w:space="0"/>
              <w:left w:val="single" w:color="auto" w:sz="4" w:space="0"/>
              <w:bottom w:val="single" w:color="auto" w:sz="4" w:space="0"/>
              <w:right w:val="single" w:color="auto" w:sz="4" w:space="0"/>
            </w:tcBorders>
          </w:tcPr>
          <w:p w14:paraId="751BBA6F">
            <w:pPr>
              <w:spacing w:line="360" w:lineRule="auto"/>
              <w:rPr>
                <w:rFonts w:ascii="宋体" w:hAnsi="宋体"/>
                <w:szCs w:val="21"/>
              </w:rPr>
            </w:pPr>
          </w:p>
        </w:tc>
        <w:tc>
          <w:tcPr>
            <w:tcW w:w="1107" w:type="dxa"/>
            <w:tcBorders>
              <w:top w:val="single" w:color="auto" w:sz="4" w:space="0"/>
              <w:left w:val="nil"/>
              <w:bottom w:val="single" w:color="auto" w:sz="4" w:space="0"/>
              <w:right w:val="single" w:color="auto" w:sz="4" w:space="0"/>
            </w:tcBorders>
            <w:vAlign w:val="center"/>
          </w:tcPr>
          <w:p w14:paraId="6D832199">
            <w:pPr>
              <w:spacing w:line="360" w:lineRule="auto"/>
              <w:rPr>
                <w:rFonts w:ascii="宋体" w:hAnsi="宋体"/>
                <w:szCs w:val="21"/>
              </w:rPr>
            </w:pPr>
          </w:p>
        </w:tc>
        <w:tc>
          <w:tcPr>
            <w:tcW w:w="1892" w:type="dxa"/>
            <w:tcBorders>
              <w:top w:val="single" w:color="auto" w:sz="4" w:space="0"/>
              <w:left w:val="nil"/>
              <w:bottom w:val="single" w:color="auto" w:sz="4" w:space="0"/>
              <w:right w:val="single" w:color="auto" w:sz="4" w:space="0"/>
            </w:tcBorders>
            <w:vAlign w:val="center"/>
          </w:tcPr>
          <w:p w14:paraId="1DE9A071">
            <w:pPr>
              <w:spacing w:line="360" w:lineRule="auto"/>
              <w:rPr>
                <w:rFonts w:ascii="宋体" w:hAnsi="宋体"/>
                <w:szCs w:val="21"/>
              </w:rPr>
            </w:pPr>
          </w:p>
        </w:tc>
        <w:tc>
          <w:tcPr>
            <w:tcW w:w="1500" w:type="dxa"/>
            <w:tcBorders>
              <w:top w:val="single" w:color="auto" w:sz="4" w:space="0"/>
              <w:left w:val="nil"/>
              <w:bottom w:val="single" w:color="auto" w:sz="4" w:space="0"/>
              <w:right w:val="single" w:color="auto" w:sz="4" w:space="0"/>
            </w:tcBorders>
            <w:vAlign w:val="center"/>
          </w:tcPr>
          <w:p w14:paraId="6C628202">
            <w:pPr>
              <w:spacing w:line="360" w:lineRule="auto"/>
              <w:rPr>
                <w:rFonts w:ascii="宋体" w:hAnsi="宋体"/>
                <w:szCs w:val="21"/>
              </w:rPr>
            </w:pPr>
          </w:p>
        </w:tc>
        <w:tc>
          <w:tcPr>
            <w:tcW w:w="1320" w:type="dxa"/>
            <w:tcBorders>
              <w:top w:val="single" w:color="auto" w:sz="4" w:space="0"/>
              <w:left w:val="nil"/>
              <w:bottom w:val="single" w:color="auto" w:sz="4" w:space="0"/>
              <w:right w:val="single" w:color="auto" w:sz="4" w:space="0"/>
            </w:tcBorders>
            <w:vAlign w:val="center"/>
          </w:tcPr>
          <w:p w14:paraId="630F0DA6">
            <w:pPr>
              <w:spacing w:line="360" w:lineRule="auto"/>
              <w:rPr>
                <w:rFonts w:ascii="宋体" w:hAnsi="宋体"/>
                <w:szCs w:val="21"/>
              </w:rPr>
            </w:pPr>
          </w:p>
        </w:tc>
        <w:tc>
          <w:tcPr>
            <w:tcW w:w="2550" w:type="dxa"/>
            <w:tcBorders>
              <w:top w:val="single" w:color="auto" w:sz="4" w:space="0"/>
              <w:left w:val="nil"/>
              <w:bottom w:val="single" w:color="auto" w:sz="4" w:space="0"/>
              <w:right w:val="single" w:color="auto" w:sz="4" w:space="0"/>
            </w:tcBorders>
            <w:vAlign w:val="center"/>
          </w:tcPr>
          <w:p w14:paraId="61AD724C">
            <w:pPr>
              <w:spacing w:line="360" w:lineRule="auto"/>
              <w:rPr>
                <w:rFonts w:ascii="宋体" w:hAnsi="宋体"/>
                <w:szCs w:val="21"/>
              </w:rPr>
            </w:pPr>
          </w:p>
        </w:tc>
        <w:tc>
          <w:tcPr>
            <w:tcW w:w="1586" w:type="dxa"/>
            <w:tcBorders>
              <w:top w:val="single" w:color="auto" w:sz="4" w:space="0"/>
              <w:left w:val="nil"/>
              <w:bottom w:val="single" w:color="auto" w:sz="4" w:space="0"/>
              <w:right w:val="single" w:color="auto" w:sz="4" w:space="0"/>
            </w:tcBorders>
            <w:vAlign w:val="center"/>
          </w:tcPr>
          <w:p w14:paraId="20418437">
            <w:pPr>
              <w:spacing w:line="360" w:lineRule="auto"/>
              <w:rPr>
                <w:rFonts w:ascii="宋体" w:hAnsi="宋体"/>
                <w:szCs w:val="21"/>
              </w:rPr>
            </w:pPr>
          </w:p>
        </w:tc>
      </w:tr>
      <w:tr w14:paraId="3CB3B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tcBorders>
              <w:top w:val="single" w:color="auto" w:sz="4" w:space="0"/>
              <w:left w:val="single" w:color="auto" w:sz="4" w:space="0"/>
              <w:bottom w:val="single" w:color="auto" w:sz="4" w:space="0"/>
              <w:right w:val="single" w:color="auto" w:sz="4" w:space="0"/>
            </w:tcBorders>
          </w:tcPr>
          <w:p w14:paraId="726BA1C4">
            <w:pPr>
              <w:spacing w:line="360" w:lineRule="auto"/>
              <w:rPr>
                <w:rFonts w:ascii="宋体" w:hAnsi="宋体"/>
                <w:szCs w:val="21"/>
              </w:rPr>
            </w:pPr>
          </w:p>
        </w:tc>
        <w:tc>
          <w:tcPr>
            <w:tcW w:w="1107" w:type="dxa"/>
            <w:tcBorders>
              <w:top w:val="single" w:color="auto" w:sz="4" w:space="0"/>
              <w:left w:val="nil"/>
              <w:bottom w:val="single" w:color="auto" w:sz="4" w:space="0"/>
              <w:right w:val="single" w:color="auto" w:sz="4" w:space="0"/>
            </w:tcBorders>
            <w:vAlign w:val="center"/>
          </w:tcPr>
          <w:p w14:paraId="785092C6">
            <w:pPr>
              <w:spacing w:line="360" w:lineRule="auto"/>
              <w:rPr>
                <w:rFonts w:ascii="宋体" w:hAnsi="宋体"/>
                <w:szCs w:val="21"/>
              </w:rPr>
            </w:pPr>
          </w:p>
        </w:tc>
        <w:tc>
          <w:tcPr>
            <w:tcW w:w="1892" w:type="dxa"/>
            <w:tcBorders>
              <w:top w:val="single" w:color="auto" w:sz="4" w:space="0"/>
              <w:left w:val="nil"/>
              <w:bottom w:val="single" w:color="auto" w:sz="4" w:space="0"/>
              <w:right w:val="single" w:color="auto" w:sz="4" w:space="0"/>
            </w:tcBorders>
            <w:vAlign w:val="center"/>
          </w:tcPr>
          <w:p w14:paraId="28FC431F">
            <w:pPr>
              <w:spacing w:line="360" w:lineRule="auto"/>
              <w:rPr>
                <w:rFonts w:ascii="宋体" w:hAnsi="宋体"/>
                <w:szCs w:val="21"/>
              </w:rPr>
            </w:pPr>
          </w:p>
        </w:tc>
        <w:tc>
          <w:tcPr>
            <w:tcW w:w="1500" w:type="dxa"/>
            <w:tcBorders>
              <w:top w:val="single" w:color="auto" w:sz="4" w:space="0"/>
              <w:left w:val="nil"/>
              <w:bottom w:val="single" w:color="auto" w:sz="4" w:space="0"/>
              <w:right w:val="single" w:color="auto" w:sz="4" w:space="0"/>
            </w:tcBorders>
            <w:vAlign w:val="center"/>
          </w:tcPr>
          <w:p w14:paraId="12024AC3">
            <w:pPr>
              <w:spacing w:line="360" w:lineRule="auto"/>
              <w:rPr>
                <w:rFonts w:ascii="宋体" w:hAnsi="宋体"/>
                <w:szCs w:val="21"/>
              </w:rPr>
            </w:pPr>
          </w:p>
        </w:tc>
        <w:tc>
          <w:tcPr>
            <w:tcW w:w="1320" w:type="dxa"/>
            <w:tcBorders>
              <w:top w:val="single" w:color="auto" w:sz="4" w:space="0"/>
              <w:left w:val="nil"/>
              <w:bottom w:val="single" w:color="auto" w:sz="4" w:space="0"/>
              <w:right w:val="single" w:color="auto" w:sz="4" w:space="0"/>
            </w:tcBorders>
            <w:vAlign w:val="center"/>
          </w:tcPr>
          <w:p w14:paraId="35B8CB39">
            <w:pPr>
              <w:spacing w:line="360" w:lineRule="auto"/>
              <w:rPr>
                <w:rFonts w:ascii="宋体" w:hAnsi="宋体"/>
                <w:szCs w:val="21"/>
              </w:rPr>
            </w:pPr>
          </w:p>
        </w:tc>
        <w:tc>
          <w:tcPr>
            <w:tcW w:w="2550" w:type="dxa"/>
            <w:tcBorders>
              <w:top w:val="single" w:color="auto" w:sz="4" w:space="0"/>
              <w:left w:val="nil"/>
              <w:bottom w:val="single" w:color="auto" w:sz="4" w:space="0"/>
              <w:right w:val="single" w:color="auto" w:sz="4" w:space="0"/>
            </w:tcBorders>
            <w:vAlign w:val="center"/>
          </w:tcPr>
          <w:p w14:paraId="52042628">
            <w:pPr>
              <w:spacing w:line="360" w:lineRule="auto"/>
              <w:rPr>
                <w:rFonts w:ascii="宋体" w:hAnsi="宋体"/>
                <w:szCs w:val="21"/>
              </w:rPr>
            </w:pPr>
          </w:p>
        </w:tc>
        <w:tc>
          <w:tcPr>
            <w:tcW w:w="1586" w:type="dxa"/>
            <w:tcBorders>
              <w:top w:val="single" w:color="auto" w:sz="4" w:space="0"/>
              <w:left w:val="nil"/>
              <w:bottom w:val="single" w:color="auto" w:sz="4" w:space="0"/>
              <w:right w:val="single" w:color="auto" w:sz="4" w:space="0"/>
            </w:tcBorders>
            <w:vAlign w:val="center"/>
          </w:tcPr>
          <w:p w14:paraId="77995D6C">
            <w:pPr>
              <w:spacing w:line="360" w:lineRule="auto"/>
              <w:rPr>
                <w:rFonts w:ascii="宋体" w:hAnsi="宋体"/>
                <w:szCs w:val="21"/>
              </w:rPr>
            </w:pPr>
          </w:p>
        </w:tc>
      </w:tr>
      <w:tr w14:paraId="164B8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tcBorders>
              <w:top w:val="single" w:color="auto" w:sz="4" w:space="0"/>
              <w:left w:val="single" w:color="auto" w:sz="4" w:space="0"/>
              <w:bottom w:val="single" w:color="auto" w:sz="4" w:space="0"/>
              <w:right w:val="single" w:color="auto" w:sz="4" w:space="0"/>
            </w:tcBorders>
          </w:tcPr>
          <w:p w14:paraId="7E458C7E">
            <w:pPr>
              <w:spacing w:line="360" w:lineRule="auto"/>
              <w:rPr>
                <w:rFonts w:ascii="宋体" w:hAnsi="宋体"/>
                <w:szCs w:val="21"/>
              </w:rPr>
            </w:pPr>
          </w:p>
        </w:tc>
        <w:tc>
          <w:tcPr>
            <w:tcW w:w="1107" w:type="dxa"/>
            <w:tcBorders>
              <w:top w:val="single" w:color="auto" w:sz="4" w:space="0"/>
              <w:left w:val="nil"/>
              <w:bottom w:val="single" w:color="auto" w:sz="4" w:space="0"/>
              <w:right w:val="single" w:color="auto" w:sz="4" w:space="0"/>
            </w:tcBorders>
            <w:vAlign w:val="center"/>
          </w:tcPr>
          <w:p w14:paraId="5E58E636">
            <w:pPr>
              <w:spacing w:line="360" w:lineRule="auto"/>
              <w:rPr>
                <w:rFonts w:ascii="宋体" w:hAnsi="宋体"/>
                <w:szCs w:val="21"/>
              </w:rPr>
            </w:pPr>
          </w:p>
        </w:tc>
        <w:tc>
          <w:tcPr>
            <w:tcW w:w="1892" w:type="dxa"/>
            <w:tcBorders>
              <w:top w:val="single" w:color="auto" w:sz="4" w:space="0"/>
              <w:left w:val="nil"/>
              <w:bottom w:val="single" w:color="auto" w:sz="4" w:space="0"/>
              <w:right w:val="single" w:color="auto" w:sz="4" w:space="0"/>
            </w:tcBorders>
            <w:vAlign w:val="center"/>
          </w:tcPr>
          <w:p w14:paraId="1A71DDA7">
            <w:pPr>
              <w:spacing w:line="360" w:lineRule="auto"/>
              <w:rPr>
                <w:rFonts w:ascii="宋体" w:hAnsi="宋体"/>
                <w:szCs w:val="21"/>
              </w:rPr>
            </w:pPr>
          </w:p>
        </w:tc>
        <w:tc>
          <w:tcPr>
            <w:tcW w:w="1500" w:type="dxa"/>
            <w:tcBorders>
              <w:top w:val="single" w:color="auto" w:sz="4" w:space="0"/>
              <w:left w:val="nil"/>
              <w:bottom w:val="single" w:color="auto" w:sz="4" w:space="0"/>
              <w:right w:val="single" w:color="auto" w:sz="4" w:space="0"/>
            </w:tcBorders>
            <w:vAlign w:val="center"/>
          </w:tcPr>
          <w:p w14:paraId="112E2556">
            <w:pPr>
              <w:spacing w:line="360" w:lineRule="auto"/>
              <w:rPr>
                <w:rFonts w:ascii="宋体" w:hAnsi="宋体"/>
                <w:szCs w:val="21"/>
              </w:rPr>
            </w:pPr>
          </w:p>
        </w:tc>
        <w:tc>
          <w:tcPr>
            <w:tcW w:w="1320" w:type="dxa"/>
            <w:tcBorders>
              <w:top w:val="single" w:color="auto" w:sz="4" w:space="0"/>
              <w:left w:val="nil"/>
              <w:bottom w:val="single" w:color="auto" w:sz="4" w:space="0"/>
              <w:right w:val="single" w:color="auto" w:sz="4" w:space="0"/>
            </w:tcBorders>
            <w:vAlign w:val="center"/>
          </w:tcPr>
          <w:p w14:paraId="692BABD0">
            <w:pPr>
              <w:spacing w:line="360" w:lineRule="auto"/>
              <w:rPr>
                <w:rFonts w:ascii="宋体" w:hAnsi="宋体"/>
                <w:szCs w:val="21"/>
              </w:rPr>
            </w:pPr>
          </w:p>
        </w:tc>
        <w:tc>
          <w:tcPr>
            <w:tcW w:w="2550" w:type="dxa"/>
            <w:tcBorders>
              <w:top w:val="single" w:color="auto" w:sz="4" w:space="0"/>
              <w:left w:val="nil"/>
              <w:bottom w:val="single" w:color="auto" w:sz="4" w:space="0"/>
              <w:right w:val="single" w:color="auto" w:sz="4" w:space="0"/>
            </w:tcBorders>
            <w:vAlign w:val="center"/>
          </w:tcPr>
          <w:p w14:paraId="63B7D0DD">
            <w:pPr>
              <w:spacing w:line="360" w:lineRule="auto"/>
              <w:rPr>
                <w:rFonts w:ascii="宋体" w:hAnsi="宋体"/>
                <w:szCs w:val="21"/>
              </w:rPr>
            </w:pPr>
          </w:p>
        </w:tc>
        <w:tc>
          <w:tcPr>
            <w:tcW w:w="1586" w:type="dxa"/>
            <w:tcBorders>
              <w:top w:val="single" w:color="auto" w:sz="4" w:space="0"/>
              <w:left w:val="nil"/>
              <w:bottom w:val="single" w:color="auto" w:sz="4" w:space="0"/>
              <w:right w:val="single" w:color="auto" w:sz="4" w:space="0"/>
            </w:tcBorders>
            <w:vAlign w:val="center"/>
          </w:tcPr>
          <w:p w14:paraId="1E576EC4">
            <w:pPr>
              <w:spacing w:line="360" w:lineRule="auto"/>
              <w:rPr>
                <w:rFonts w:ascii="宋体" w:hAnsi="宋体"/>
                <w:szCs w:val="21"/>
              </w:rPr>
            </w:pPr>
          </w:p>
        </w:tc>
      </w:tr>
      <w:tr w14:paraId="12D78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tcBorders>
              <w:top w:val="single" w:color="auto" w:sz="4" w:space="0"/>
              <w:left w:val="single" w:color="auto" w:sz="4" w:space="0"/>
              <w:bottom w:val="single" w:color="auto" w:sz="4" w:space="0"/>
              <w:right w:val="single" w:color="auto" w:sz="4" w:space="0"/>
            </w:tcBorders>
          </w:tcPr>
          <w:p w14:paraId="3D8BEEEB">
            <w:pPr>
              <w:spacing w:line="360" w:lineRule="auto"/>
              <w:rPr>
                <w:rFonts w:ascii="宋体" w:hAnsi="宋体"/>
                <w:szCs w:val="21"/>
              </w:rPr>
            </w:pPr>
          </w:p>
        </w:tc>
        <w:tc>
          <w:tcPr>
            <w:tcW w:w="1107" w:type="dxa"/>
            <w:tcBorders>
              <w:top w:val="single" w:color="auto" w:sz="4" w:space="0"/>
              <w:left w:val="nil"/>
              <w:bottom w:val="single" w:color="auto" w:sz="4" w:space="0"/>
              <w:right w:val="single" w:color="auto" w:sz="4" w:space="0"/>
            </w:tcBorders>
            <w:vAlign w:val="center"/>
          </w:tcPr>
          <w:p w14:paraId="507288C4">
            <w:pPr>
              <w:spacing w:line="360" w:lineRule="auto"/>
              <w:rPr>
                <w:rFonts w:ascii="宋体" w:hAnsi="宋体"/>
                <w:szCs w:val="21"/>
              </w:rPr>
            </w:pPr>
          </w:p>
        </w:tc>
        <w:tc>
          <w:tcPr>
            <w:tcW w:w="1892" w:type="dxa"/>
            <w:tcBorders>
              <w:top w:val="single" w:color="auto" w:sz="4" w:space="0"/>
              <w:left w:val="nil"/>
              <w:bottom w:val="single" w:color="auto" w:sz="4" w:space="0"/>
              <w:right w:val="single" w:color="auto" w:sz="4" w:space="0"/>
            </w:tcBorders>
            <w:vAlign w:val="center"/>
          </w:tcPr>
          <w:p w14:paraId="7B3C00CA">
            <w:pPr>
              <w:spacing w:line="360" w:lineRule="auto"/>
              <w:rPr>
                <w:rFonts w:ascii="宋体" w:hAnsi="宋体"/>
                <w:szCs w:val="21"/>
              </w:rPr>
            </w:pPr>
          </w:p>
        </w:tc>
        <w:tc>
          <w:tcPr>
            <w:tcW w:w="1500" w:type="dxa"/>
            <w:tcBorders>
              <w:top w:val="single" w:color="auto" w:sz="4" w:space="0"/>
              <w:left w:val="nil"/>
              <w:bottom w:val="single" w:color="auto" w:sz="4" w:space="0"/>
              <w:right w:val="single" w:color="auto" w:sz="4" w:space="0"/>
            </w:tcBorders>
            <w:vAlign w:val="center"/>
          </w:tcPr>
          <w:p w14:paraId="22570CBC">
            <w:pPr>
              <w:spacing w:line="360" w:lineRule="auto"/>
              <w:rPr>
                <w:rFonts w:ascii="宋体" w:hAnsi="宋体"/>
                <w:szCs w:val="21"/>
              </w:rPr>
            </w:pPr>
          </w:p>
        </w:tc>
        <w:tc>
          <w:tcPr>
            <w:tcW w:w="1320" w:type="dxa"/>
            <w:tcBorders>
              <w:top w:val="single" w:color="auto" w:sz="4" w:space="0"/>
              <w:left w:val="nil"/>
              <w:bottom w:val="single" w:color="auto" w:sz="4" w:space="0"/>
              <w:right w:val="single" w:color="auto" w:sz="4" w:space="0"/>
            </w:tcBorders>
            <w:vAlign w:val="center"/>
          </w:tcPr>
          <w:p w14:paraId="01B275C0">
            <w:pPr>
              <w:spacing w:line="360" w:lineRule="auto"/>
              <w:rPr>
                <w:rFonts w:ascii="宋体" w:hAnsi="宋体"/>
                <w:szCs w:val="21"/>
              </w:rPr>
            </w:pPr>
          </w:p>
        </w:tc>
        <w:tc>
          <w:tcPr>
            <w:tcW w:w="2550" w:type="dxa"/>
            <w:tcBorders>
              <w:top w:val="single" w:color="auto" w:sz="4" w:space="0"/>
              <w:left w:val="nil"/>
              <w:bottom w:val="single" w:color="auto" w:sz="4" w:space="0"/>
              <w:right w:val="single" w:color="auto" w:sz="4" w:space="0"/>
            </w:tcBorders>
            <w:vAlign w:val="center"/>
          </w:tcPr>
          <w:p w14:paraId="15916A89">
            <w:pPr>
              <w:spacing w:line="360" w:lineRule="auto"/>
              <w:rPr>
                <w:rFonts w:ascii="宋体" w:hAnsi="宋体"/>
                <w:szCs w:val="21"/>
              </w:rPr>
            </w:pPr>
          </w:p>
        </w:tc>
        <w:tc>
          <w:tcPr>
            <w:tcW w:w="1586" w:type="dxa"/>
            <w:tcBorders>
              <w:top w:val="single" w:color="auto" w:sz="4" w:space="0"/>
              <w:left w:val="nil"/>
              <w:bottom w:val="single" w:color="auto" w:sz="4" w:space="0"/>
              <w:right w:val="single" w:color="auto" w:sz="4" w:space="0"/>
            </w:tcBorders>
            <w:vAlign w:val="center"/>
          </w:tcPr>
          <w:p w14:paraId="3D24E458">
            <w:pPr>
              <w:spacing w:line="360" w:lineRule="auto"/>
              <w:rPr>
                <w:rFonts w:ascii="宋体" w:hAnsi="宋体"/>
                <w:szCs w:val="21"/>
              </w:rPr>
            </w:pPr>
          </w:p>
        </w:tc>
      </w:tr>
      <w:tr w14:paraId="47721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tcBorders>
              <w:top w:val="single" w:color="auto" w:sz="4" w:space="0"/>
              <w:left w:val="single" w:color="auto" w:sz="4" w:space="0"/>
              <w:bottom w:val="single" w:color="auto" w:sz="4" w:space="0"/>
              <w:right w:val="single" w:color="auto" w:sz="4" w:space="0"/>
            </w:tcBorders>
          </w:tcPr>
          <w:p w14:paraId="3CF215AB">
            <w:pPr>
              <w:spacing w:line="360" w:lineRule="auto"/>
              <w:rPr>
                <w:rFonts w:ascii="宋体" w:hAnsi="宋体"/>
                <w:szCs w:val="21"/>
              </w:rPr>
            </w:pPr>
          </w:p>
        </w:tc>
        <w:tc>
          <w:tcPr>
            <w:tcW w:w="1107" w:type="dxa"/>
            <w:tcBorders>
              <w:top w:val="single" w:color="auto" w:sz="4" w:space="0"/>
              <w:left w:val="nil"/>
              <w:bottom w:val="single" w:color="auto" w:sz="4" w:space="0"/>
              <w:right w:val="single" w:color="auto" w:sz="4" w:space="0"/>
            </w:tcBorders>
            <w:vAlign w:val="center"/>
          </w:tcPr>
          <w:p w14:paraId="25C7DB8E">
            <w:pPr>
              <w:spacing w:line="360" w:lineRule="auto"/>
              <w:rPr>
                <w:rFonts w:ascii="宋体" w:hAnsi="宋体"/>
                <w:szCs w:val="21"/>
              </w:rPr>
            </w:pPr>
          </w:p>
        </w:tc>
        <w:tc>
          <w:tcPr>
            <w:tcW w:w="1892" w:type="dxa"/>
            <w:tcBorders>
              <w:top w:val="single" w:color="auto" w:sz="4" w:space="0"/>
              <w:left w:val="nil"/>
              <w:bottom w:val="single" w:color="auto" w:sz="4" w:space="0"/>
              <w:right w:val="single" w:color="auto" w:sz="4" w:space="0"/>
            </w:tcBorders>
            <w:vAlign w:val="center"/>
          </w:tcPr>
          <w:p w14:paraId="2DFFDCF8">
            <w:pPr>
              <w:spacing w:line="360" w:lineRule="auto"/>
              <w:rPr>
                <w:rFonts w:ascii="宋体" w:hAnsi="宋体"/>
                <w:szCs w:val="21"/>
              </w:rPr>
            </w:pPr>
          </w:p>
        </w:tc>
        <w:tc>
          <w:tcPr>
            <w:tcW w:w="1500" w:type="dxa"/>
            <w:tcBorders>
              <w:top w:val="single" w:color="auto" w:sz="4" w:space="0"/>
              <w:left w:val="nil"/>
              <w:bottom w:val="single" w:color="auto" w:sz="4" w:space="0"/>
              <w:right w:val="single" w:color="auto" w:sz="4" w:space="0"/>
            </w:tcBorders>
            <w:vAlign w:val="center"/>
          </w:tcPr>
          <w:p w14:paraId="2A4DC906">
            <w:pPr>
              <w:spacing w:line="360" w:lineRule="auto"/>
              <w:rPr>
                <w:rFonts w:ascii="宋体" w:hAnsi="宋体"/>
                <w:szCs w:val="21"/>
              </w:rPr>
            </w:pPr>
          </w:p>
        </w:tc>
        <w:tc>
          <w:tcPr>
            <w:tcW w:w="1320" w:type="dxa"/>
            <w:tcBorders>
              <w:top w:val="single" w:color="auto" w:sz="4" w:space="0"/>
              <w:left w:val="nil"/>
              <w:bottom w:val="single" w:color="auto" w:sz="4" w:space="0"/>
              <w:right w:val="single" w:color="auto" w:sz="4" w:space="0"/>
            </w:tcBorders>
            <w:vAlign w:val="center"/>
          </w:tcPr>
          <w:p w14:paraId="5CA7124D">
            <w:pPr>
              <w:spacing w:line="360" w:lineRule="auto"/>
              <w:rPr>
                <w:rFonts w:ascii="宋体" w:hAnsi="宋体"/>
                <w:szCs w:val="21"/>
              </w:rPr>
            </w:pPr>
          </w:p>
        </w:tc>
        <w:tc>
          <w:tcPr>
            <w:tcW w:w="2550" w:type="dxa"/>
            <w:tcBorders>
              <w:top w:val="single" w:color="auto" w:sz="4" w:space="0"/>
              <w:left w:val="nil"/>
              <w:bottom w:val="single" w:color="auto" w:sz="4" w:space="0"/>
              <w:right w:val="single" w:color="auto" w:sz="4" w:space="0"/>
            </w:tcBorders>
            <w:vAlign w:val="center"/>
          </w:tcPr>
          <w:p w14:paraId="58262FBA">
            <w:pPr>
              <w:spacing w:line="360" w:lineRule="auto"/>
              <w:rPr>
                <w:rFonts w:ascii="宋体" w:hAnsi="宋体"/>
                <w:szCs w:val="21"/>
              </w:rPr>
            </w:pPr>
          </w:p>
        </w:tc>
        <w:tc>
          <w:tcPr>
            <w:tcW w:w="1586" w:type="dxa"/>
            <w:tcBorders>
              <w:top w:val="single" w:color="auto" w:sz="4" w:space="0"/>
              <w:left w:val="nil"/>
              <w:bottom w:val="single" w:color="auto" w:sz="4" w:space="0"/>
              <w:right w:val="single" w:color="auto" w:sz="4" w:space="0"/>
            </w:tcBorders>
            <w:vAlign w:val="center"/>
          </w:tcPr>
          <w:p w14:paraId="7B8967F9">
            <w:pPr>
              <w:spacing w:line="360" w:lineRule="auto"/>
              <w:rPr>
                <w:rFonts w:ascii="宋体" w:hAnsi="宋体"/>
                <w:szCs w:val="21"/>
              </w:rPr>
            </w:pPr>
          </w:p>
        </w:tc>
      </w:tr>
      <w:tr w14:paraId="02515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tcBorders>
              <w:top w:val="single" w:color="auto" w:sz="4" w:space="0"/>
              <w:left w:val="single" w:color="auto" w:sz="4" w:space="0"/>
              <w:bottom w:val="single" w:color="auto" w:sz="4" w:space="0"/>
              <w:right w:val="single" w:color="auto" w:sz="4" w:space="0"/>
            </w:tcBorders>
          </w:tcPr>
          <w:p w14:paraId="17CD3960">
            <w:pPr>
              <w:spacing w:line="360" w:lineRule="auto"/>
              <w:rPr>
                <w:rFonts w:ascii="宋体" w:hAnsi="宋体"/>
                <w:szCs w:val="21"/>
              </w:rPr>
            </w:pPr>
          </w:p>
        </w:tc>
        <w:tc>
          <w:tcPr>
            <w:tcW w:w="1107" w:type="dxa"/>
            <w:tcBorders>
              <w:top w:val="single" w:color="auto" w:sz="4" w:space="0"/>
              <w:left w:val="nil"/>
              <w:bottom w:val="single" w:color="auto" w:sz="4" w:space="0"/>
              <w:right w:val="single" w:color="auto" w:sz="4" w:space="0"/>
            </w:tcBorders>
            <w:vAlign w:val="center"/>
          </w:tcPr>
          <w:p w14:paraId="3FB60A03">
            <w:pPr>
              <w:spacing w:line="360" w:lineRule="auto"/>
              <w:rPr>
                <w:rFonts w:ascii="宋体" w:hAnsi="宋体"/>
                <w:szCs w:val="21"/>
              </w:rPr>
            </w:pPr>
          </w:p>
        </w:tc>
        <w:tc>
          <w:tcPr>
            <w:tcW w:w="1892" w:type="dxa"/>
            <w:tcBorders>
              <w:top w:val="single" w:color="auto" w:sz="4" w:space="0"/>
              <w:left w:val="nil"/>
              <w:bottom w:val="single" w:color="auto" w:sz="4" w:space="0"/>
              <w:right w:val="single" w:color="auto" w:sz="4" w:space="0"/>
            </w:tcBorders>
            <w:vAlign w:val="center"/>
          </w:tcPr>
          <w:p w14:paraId="4E5A7A66">
            <w:pPr>
              <w:spacing w:line="360" w:lineRule="auto"/>
              <w:rPr>
                <w:rFonts w:ascii="宋体" w:hAnsi="宋体"/>
                <w:szCs w:val="21"/>
              </w:rPr>
            </w:pPr>
          </w:p>
        </w:tc>
        <w:tc>
          <w:tcPr>
            <w:tcW w:w="1500" w:type="dxa"/>
            <w:tcBorders>
              <w:top w:val="single" w:color="auto" w:sz="4" w:space="0"/>
              <w:left w:val="nil"/>
              <w:bottom w:val="single" w:color="auto" w:sz="4" w:space="0"/>
              <w:right w:val="single" w:color="auto" w:sz="4" w:space="0"/>
            </w:tcBorders>
            <w:vAlign w:val="center"/>
          </w:tcPr>
          <w:p w14:paraId="585C9CC5">
            <w:pPr>
              <w:spacing w:line="360" w:lineRule="auto"/>
              <w:rPr>
                <w:rFonts w:ascii="宋体" w:hAnsi="宋体"/>
                <w:szCs w:val="21"/>
              </w:rPr>
            </w:pPr>
          </w:p>
        </w:tc>
        <w:tc>
          <w:tcPr>
            <w:tcW w:w="1320" w:type="dxa"/>
            <w:tcBorders>
              <w:top w:val="single" w:color="auto" w:sz="4" w:space="0"/>
              <w:left w:val="nil"/>
              <w:bottom w:val="single" w:color="auto" w:sz="4" w:space="0"/>
              <w:right w:val="single" w:color="auto" w:sz="4" w:space="0"/>
            </w:tcBorders>
            <w:vAlign w:val="center"/>
          </w:tcPr>
          <w:p w14:paraId="290B31FC">
            <w:pPr>
              <w:spacing w:line="360" w:lineRule="auto"/>
              <w:rPr>
                <w:rFonts w:ascii="宋体" w:hAnsi="宋体"/>
                <w:szCs w:val="21"/>
              </w:rPr>
            </w:pPr>
          </w:p>
        </w:tc>
        <w:tc>
          <w:tcPr>
            <w:tcW w:w="2550" w:type="dxa"/>
            <w:tcBorders>
              <w:top w:val="single" w:color="auto" w:sz="4" w:space="0"/>
              <w:left w:val="nil"/>
              <w:bottom w:val="single" w:color="auto" w:sz="4" w:space="0"/>
              <w:right w:val="single" w:color="auto" w:sz="4" w:space="0"/>
            </w:tcBorders>
            <w:vAlign w:val="center"/>
          </w:tcPr>
          <w:p w14:paraId="7160797F">
            <w:pPr>
              <w:spacing w:line="360" w:lineRule="auto"/>
              <w:rPr>
                <w:rFonts w:ascii="宋体" w:hAnsi="宋体"/>
                <w:szCs w:val="21"/>
              </w:rPr>
            </w:pPr>
          </w:p>
        </w:tc>
        <w:tc>
          <w:tcPr>
            <w:tcW w:w="1586" w:type="dxa"/>
            <w:tcBorders>
              <w:top w:val="single" w:color="auto" w:sz="4" w:space="0"/>
              <w:left w:val="nil"/>
              <w:bottom w:val="single" w:color="auto" w:sz="4" w:space="0"/>
              <w:right w:val="single" w:color="auto" w:sz="4" w:space="0"/>
            </w:tcBorders>
            <w:vAlign w:val="center"/>
          </w:tcPr>
          <w:p w14:paraId="6BB5609F">
            <w:pPr>
              <w:spacing w:line="360" w:lineRule="auto"/>
              <w:rPr>
                <w:rFonts w:ascii="宋体" w:hAnsi="宋体"/>
                <w:szCs w:val="21"/>
              </w:rPr>
            </w:pPr>
          </w:p>
        </w:tc>
      </w:tr>
      <w:tr w14:paraId="43B17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tcBorders>
              <w:top w:val="single" w:color="auto" w:sz="4" w:space="0"/>
              <w:left w:val="single" w:color="auto" w:sz="4" w:space="0"/>
              <w:bottom w:val="single" w:color="auto" w:sz="4" w:space="0"/>
              <w:right w:val="single" w:color="auto" w:sz="4" w:space="0"/>
            </w:tcBorders>
          </w:tcPr>
          <w:p w14:paraId="30211176">
            <w:pPr>
              <w:spacing w:line="360" w:lineRule="auto"/>
              <w:rPr>
                <w:rFonts w:ascii="宋体" w:hAnsi="宋体"/>
                <w:szCs w:val="21"/>
              </w:rPr>
            </w:pPr>
          </w:p>
        </w:tc>
        <w:tc>
          <w:tcPr>
            <w:tcW w:w="1107" w:type="dxa"/>
            <w:tcBorders>
              <w:top w:val="single" w:color="auto" w:sz="4" w:space="0"/>
              <w:left w:val="nil"/>
              <w:bottom w:val="single" w:color="auto" w:sz="4" w:space="0"/>
              <w:right w:val="single" w:color="auto" w:sz="4" w:space="0"/>
            </w:tcBorders>
            <w:vAlign w:val="center"/>
          </w:tcPr>
          <w:p w14:paraId="1829A521">
            <w:pPr>
              <w:spacing w:line="360" w:lineRule="auto"/>
              <w:rPr>
                <w:rFonts w:ascii="宋体" w:hAnsi="宋体"/>
                <w:szCs w:val="21"/>
              </w:rPr>
            </w:pPr>
          </w:p>
        </w:tc>
        <w:tc>
          <w:tcPr>
            <w:tcW w:w="1892" w:type="dxa"/>
            <w:tcBorders>
              <w:top w:val="single" w:color="auto" w:sz="4" w:space="0"/>
              <w:left w:val="nil"/>
              <w:bottom w:val="single" w:color="auto" w:sz="4" w:space="0"/>
              <w:right w:val="single" w:color="auto" w:sz="4" w:space="0"/>
            </w:tcBorders>
            <w:vAlign w:val="center"/>
          </w:tcPr>
          <w:p w14:paraId="5BEBCF09">
            <w:pPr>
              <w:spacing w:line="360" w:lineRule="auto"/>
              <w:rPr>
                <w:rFonts w:ascii="宋体" w:hAnsi="宋体"/>
                <w:szCs w:val="21"/>
              </w:rPr>
            </w:pPr>
          </w:p>
        </w:tc>
        <w:tc>
          <w:tcPr>
            <w:tcW w:w="1500" w:type="dxa"/>
            <w:tcBorders>
              <w:top w:val="single" w:color="auto" w:sz="4" w:space="0"/>
              <w:left w:val="nil"/>
              <w:bottom w:val="single" w:color="auto" w:sz="4" w:space="0"/>
              <w:right w:val="single" w:color="auto" w:sz="4" w:space="0"/>
            </w:tcBorders>
            <w:vAlign w:val="center"/>
          </w:tcPr>
          <w:p w14:paraId="0B75EE11">
            <w:pPr>
              <w:spacing w:line="360" w:lineRule="auto"/>
              <w:rPr>
                <w:rFonts w:ascii="宋体" w:hAnsi="宋体"/>
                <w:szCs w:val="21"/>
              </w:rPr>
            </w:pPr>
          </w:p>
        </w:tc>
        <w:tc>
          <w:tcPr>
            <w:tcW w:w="1320" w:type="dxa"/>
            <w:tcBorders>
              <w:top w:val="single" w:color="auto" w:sz="4" w:space="0"/>
              <w:left w:val="nil"/>
              <w:bottom w:val="single" w:color="auto" w:sz="4" w:space="0"/>
              <w:right w:val="single" w:color="auto" w:sz="4" w:space="0"/>
            </w:tcBorders>
            <w:vAlign w:val="center"/>
          </w:tcPr>
          <w:p w14:paraId="73F2800B">
            <w:pPr>
              <w:spacing w:line="360" w:lineRule="auto"/>
              <w:rPr>
                <w:rFonts w:ascii="宋体" w:hAnsi="宋体"/>
                <w:szCs w:val="21"/>
              </w:rPr>
            </w:pPr>
          </w:p>
        </w:tc>
        <w:tc>
          <w:tcPr>
            <w:tcW w:w="2550" w:type="dxa"/>
            <w:tcBorders>
              <w:top w:val="single" w:color="auto" w:sz="4" w:space="0"/>
              <w:left w:val="nil"/>
              <w:bottom w:val="single" w:color="auto" w:sz="4" w:space="0"/>
              <w:right w:val="single" w:color="auto" w:sz="4" w:space="0"/>
            </w:tcBorders>
            <w:vAlign w:val="center"/>
          </w:tcPr>
          <w:p w14:paraId="5090E971">
            <w:pPr>
              <w:spacing w:line="360" w:lineRule="auto"/>
              <w:rPr>
                <w:rFonts w:ascii="宋体" w:hAnsi="宋体"/>
                <w:szCs w:val="21"/>
              </w:rPr>
            </w:pPr>
          </w:p>
        </w:tc>
        <w:tc>
          <w:tcPr>
            <w:tcW w:w="1586" w:type="dxa"/>
            <w:tcBorders>
              <w:top w:val="single" w:color="auto" w:sz="4" w:space="0"/>
              <w:left w:val="nil"/>
              <w:bottom w:val="single" w:color="auto" w:sz="4" w:space="0"/>
              <w:right w:val="single" w:color="auto" w:sz="4" w:space="0"/>
            </w:tcBorders>
            <w:vAlign w:val="center"/>
          </w:tcPr>
          <w:p w14:paraId="0AAD5A49">
            <w:pPr>
              <w:spacing w:line="360" w:lineRule="auto"/>
              <w:rPr>
                <w:rFonts w:ascii="宋体" w:hAnsi="宋体"/>
                <w:szCs w:val="21"/>
              </w:rPr>
            </w:pPr>
          </w:p>
        </w:tc>
      </w:tr>
      <w:tr w14:paraId="74C76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tcBorders>
              <w:top w:val="single" w:color="auto" w:sz="4" w:space="0"/>
              <w:left w:val="single" w:color="auto" w:sz="4" w:space="0"/>
              <w:bottom w:val="single" w:color="auto" w:sz="4" w:space="0"/>
              <w:right w:val="single" w:color="auto" w:sz="4" w:space="0"/>
            </w:tcBorders>
          </w:tcPr>
          <w:p w14:paraId="26FA7C15">
            <w:pPr>
              <w:spacing w:line="360" w:lineRule="auto"/>
              <w:rPr>
                <w:rFonts w:ascii="宋体" w:hAnsi="宋体"/>
                <w:szCs w:val="21"/>
              </w:rPr>
            </w:pPr>
          </w:p>
        </w:tc>
        <w:tc>
          <w:tcPr>
            <w:tcW w:w="1107" w:type="dxa"/>
            <w:tcBorders>
              <w:top w:val="single" w:color="auto" w:sz="4" w:space="0"/>
              <w:left w:val="nil"/>
              <w:bottom w:val="single" w:color="auto" w:sz="4" w:space="0"/>
              <w:right w:val="single" w:color="auto" w:sz="4" w:space="0"/>
            </w:tcBorders>
            <w:vAlign w:val="center"/>
          </w:tcPr>
          <w:p w14:paraId="55029CE4">
            <w:pPr>
              <w:spacing w:line="360" w:lineRule="auto"/>
              <w:rPr>
                <w:rFonts w:ascii="宋体" w:hAnsi="宋体"/>
                <w:szCs w:val="21"/>
              </w:rPr>
            </w:pPr>
          </w:p>
        </w:tc>
        <w:tc>
          <w:tcPr>
            <w:tcW w:w="1892" w:type="dxa"/>
            <w:tcBorders>
              <w:top w:val="single" w:color="auto" w:sz="4" w:space="0"/>
              <w:left w:val="nil"/>
              <w:bottom w:val="single" w:color="auto" w:sz="4" w:space="0"/>
              <w:right w:val="single" w:color="auto" w:sz="4" w:space="0"/>
            </w:tcBorders>
            <w:vAlign w:val="center"/>
          </w:tcPr>
          <w:p w14:paraId="448A33B8">
            <w:pPr>
              <w:spacing w:line="360" w:lineRule="auto"/>
              <w:rPr>
                <w:rFonts w:ascii="宋体" w:hAnsi="宋体"/>
                <w:szCs w:val="21"/>
              </w:rPr>
            </w:pPr>
          </w:p>
        </w:tc>
        <w:tc>
          <w:tcPr>
            <w:tcW w:w="1500" w:type="dxa"/>
            <w:tcBorders>
              <w:top w:val="single" w:color="auto" w:sz="4" w:space="0"/>
              <w:left w:val="nil"/>
              <w:bottom w:val="single" w:color="auto" w:sz="4" w:space="0"/>
              <w:right w:val="single" w:color="auto" w:sz="4" w:space="0"/>
            </w:tcBorders>
            <w:vAlign w:val="center"/>
          </w:tcPr>
          <w:p w14:paraId="539D1B8F">
            <w:pPr>
              <w:spacing w:line="360" w:lineRule="auto"/>
              <w:rPr>
                <w:rFonts w:ascii="宋体" w:hAnsi="宋体"/>
                <w:szCs w:val="21"/>
              </w:rPr>
            </w:pPr>
          </w:p>
        </w:tc>
        <w:tc>
          <w:tcPr>
            <w:tcW w:w="1320" w:type="dxa"/>
            <w:tcBorders>
              <w:top w:val="single" w:color="auto" w:sz="4" w:space="0"/>
              <w:left w:val="nil"/>
              <w:bottom w:val="single" w:color="auto" w:sz="4" w:space="0"/>
              <w:right w:val="single" w:color="auto" w:sz="4" w:space="0"/>
            </w:tcBorders>
            <w:vAlign w:val="center"/>
          </w:tcPr>
          <w:p w14:paraId="185B4652">
            <w:pPr>
              <w:spacing w:line="360" w:lineRule="auto"/>
              <w:rPr>
                <w:rFonts w:ascii="宋体" w:hAnsi="宋体"/>
                <w:szCs w:val="21"/>
              </w:rPr>
            </w:pPr>
          </w:p>
        </w:tc>
        <w:tc>
          <w:tcPr>
            <w:tcW w:w="2550" w:type="dxa"/>
            <w:tcBorders>
              <w:top w:val="single" w:color="auto" w:sz="4" w:space="0"/>
              <w:left w:val="nil"/>
              <w:bottom w:val="single" w:color="auto" w:sz="4" w:space="0"/>
              <w:right w:val="single" w:color="auto" w:sz="4" w:space="0"/>
            </w:tcBorders>
            <w:vAlign w:val="center"/>
          </w:tcPr>
          <w:p w14:paraId="7EFA1B6F">
            <w:pPr>
              <w:spacing w:line="360" w:lineRule="auto"/>
              <w:rPr>
                <w:rFonts w:ascii="宋体" w:hAnsi="宋体"/>
                <w:szCs w:val="21"/>
              </w:rPr>
            </w:pPr>
          </w:p>
        </w:tc>
        <w:tc>
          <w:tcPr>
            <w:tcW w:w="1586" w:type="dxa"/>
            <w:tcBorders>
              <w:top w:val="single" w:color="auto" w:sz="4" w:space="0"/>
              <w:left w:val="nil"/>
              <w:bottom w:val="single" w:color="auto" w:sz="4" w:space="0"/>
              <w:right w:val="single" w:color="auto" w:sz="4" w:space="0"/>
            </w:tcBorders>
            <w:vAlign w:val="center"/>
          </w:tcPr>
          <w:p w14:paraId="07F5D2F4">
            <w:pPr>
              <w:spacing w:line="360" w:lineRule="auto"/>
              <w:rPr>
                <w:rFonts w:ascii="宋体" w:hAnsi="宋体"/>
                <w:szCs w:val="21"/>
              </w:rPr>
            </w:pPr>
          </w:p>
        </w:tc>
      </w:tr>
      <w:tr w14:paraId="22D77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tcBorders>
              <w:top w:val="single" w:color="auto" w:sz="4" w:space="0"/>
              <w:left w:val="single" w:color="auto" w:sz="4" w:space="0"/>
              <w:bottom w:val="single" w:color="auto" w:sz="4" w:space="0"/>
              <w:right w:val="single" w:color="auto" w:sz="4" w:space="0"/>
            </w:tcBorders>
          </w:tcPr>
          <w:p w14:paraId="596864E3">
            <w:pPr>
              <w:spacing w:line="360" w:lineRule="auto"/>
              <w:rPr>
                <w:rFonts w:ascii="宋体" w:hAnsi="宋体"/>
                <w:szCs w:val="21"/>
              </w:rPr>
            </w:pPr>
          </w:p>
        </w:tc>
        <w:tc>
          <w:tcPr>
            <w:tcW w:w="1107" w:type="dxa"/>
            <w:tcBorders>
              <w:top w:val="single" w:color="auto" w:sz="4" w:space="0"/>
              <w:left w:val="nil"/>
              <w:bottom w:val="single" w:color="auto" w:sz="4" w:space="0"/>
              <w:right w:val="single" w:color="auto" w:sz="4" w:space="0"/>
            </w:tcBorders>
            <w:vAlign w:val="center"/>
          </w:tcPr>
          <w:p w14:paraId="1810391F">
            <w:pPr>
              <w:spacing w:line="360" w:lineRule="auto"/>
              <w:rPr>
                <w:rFonts w:ascii="宋体" w:hAnsi="宋体"/>
                <w:szCs w:val="21"/>
              </w:rPr>
            </w:pPr>
          </w:p>
        </w:tc>
        <w:tc>
          <w:tcPr>
            <w:tcW w:w="1892" w:type="dxa"/>
            <w:tcBorders>
              <w:top w:val="single" w:color="auto" w:sz="4" w:space="0"/>
              <w:left w:val="nil"/>
              <w:bottom w:val="single" w:color="auto" w:sz="4" w:space="0"/>
              <w:right w:val="single" w:color="auto" w:sz="4" w:space="0"/>
            </w:tcBorders>
            <w:vAlign w:val="center"/>
          </w:tcPr>
          <w:p w14:paraId="6F2D8E85">
            <w:pPr>
              <w:spacing w:line="360" w:lineRule="auto"/>
              <w:rPr>
                <w:rFonts w:ascii="宋体" w:hAnsi="宋体"/>
                <w:szCs w:val="21"/>
              </w:rPr>
            </w:pPr>
          </w:p>
        </w:tc>
        <w:tc>
          <w:tcPr>
            <w:tcW w:w="1500" w:type="dxa"/>
            <w:tcBorders>
              <w:top w:val="single" w:color="auto" w:sz="4" w:space="0"/>
              <w:left w:val="nil"/>
              <w:bottom w:val="single" w:color="auto" w:sz="4" w:space="0"/>
              <w:right w:val="single" w:color="auto" w:sz="4" w:space="0"/>
            </w:tcBorders>
            <w:vAlign w:val="center"/>
          </w:tcPr>
          <w:p w14:paraId="3B3AFD39">
            <w:pPr>
              <w:spacing w:line="360" w:lineRule="auto"/>
              <w:rPr>
                <w:rFonts w:ascii="宋体" w:hAnsi="宋体"/>
                <w:szCs w:val="21"/>
              </w:rPr>
            </w:pPr>
          </w:p>
        </w:tc>
        <w:tc>
          <w:tcPr>
            <w:tcW w:w="1320" w:type="dxa"/>
            <w:tcBorders>
              <w:top w:val="single" w:color="auto" w:sz="4" w:space="0"/>
              <w:left w:val="nil"/>
              <w:bottom w:val="single" w:color="auto" w:sz="4" w:space="0"/>
              <w:right w:val="single" w:color="auto" w:sz="4" w:space="0"/>
            </w:tcBorders>
            <w:vAlign w:val="center"/>
          </w:tcPr>
          <w:p w14:paraId="3003DB5D">
            <w:pPr>
              <w:spacing w:line="360" w:lineRule="auto"/>
              <w:rPr>
                <w:rFonts w:ascii="宋体" w:hAnsi="宋体"/>
                <w:szCs w:val="21"/>
              </w:rPr>
            </w:pPr>
          </w:p>
        </w:tc>
        <w:tc>
          <w:tcPr>
            <w:tcW w:w="2550" w:type="dxa"/>
            <w:tcBorders>
              <w:top w:val="single" w:color="auto" w:sz="4" w:space="0"/>
              <w:left w:val="nil"/>
              <w:bottom w:val="single" w:color="auto" w:sz="4" w:space="0"/>
              <w:right w:val="single" w:color="auto" w:sz="4" w:space="0"/>
            </w:tcBorders>
            <w:vAlign w:val="center"/>
          </w:tcPr>
          <w:p w14:paraId="2ABA1850">
            <w:pPr>
              <w:spacing w:line="360" w:lineRule="auto"/>
              <w:rPr>
                <w:rFonts w:ascii="宋体" w:hAnsi="宋体"/>
                <w:szCs w:val="21"/>
              </w:rPr>
            </w:pPr>
          </w:p>
        </w:tc>
        <w:tc>
          <w:tcPr>
            <w:tcW w:w="1586" w:type="dxa"/>
            <w:tcBorders>
              <w:top w:val="single" w:color="auto" w:sz="4" w:space="0"/>
              <w:left w:val="nil"/>
              <w:bottom w:val="single" w:color="auto" w:sz="4" w:space="0"/>
              <w:right w:val="single" w:color="auto" w:sz="4" w:space="0"/>
            </w:tcBorders>
            <w:vAlign w:val="center"/>
          </w:tcPr>
          <w:p w14:paraId="0EA7B672">
            <w:pPr>
              <w:spacing w:line="360" w:lineRule="auto"/>
              <w:rPr>
                <w:rFonts w:ascii="宋体" w:hAnsi="宋体"/>
                <w:szCs w:val="21"/>
              </w:rPr>
            </w:pPr>
          </w:p>
        </w:tc>
      </w:tr>
      <w:tr w14:paraId="66D6A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tcBorders>
              <w:top w:val="single" w:color="auto" w:sz="4" w:space="0"/>
              <w:left w:val="single" w:color="auto" w:sz="4" w:space="0"/>
              <w:bottom w:val="single" w:color="auto" w:sz="4" w:space="0"/>
              <w:right w:val="single" w:color="auto" w:sz="4" w:space="0"/>
            </w:tcBorders>
          </w:tcPr>
          <w:p w14:paraId="3CF663CA">
            <w:pPr>
              <w:spacing w:line="360" w:lineRule="auto"/>
              <w:rPr>
                <w:rFonts w:ascii="宋体" w:hAnsi="宋体"/>
                <w:szCs w:val="21"/>
              </w:rPr>
            </w:pPr>
          </w:p>
        </w:tc>
        <w:tc>
          <w:tcPr>
            <w:tcW w:w="1107" w:type="dxa"/>
            <w:tcBorders>
              <w:top w:val="single" w:color="auto" w:sz="4" w:space="0"/>
              <w:left w:val="nil"/>
              <w:bottom w:val="single" w:color="auto" w:sz="4" w:space="0"/>
              <w:right w:val="single" w:color="auto" w:sz="4" w:space="0"/>
            </w:tcBorders>
            <w:vAlign w:val="center"/>
          </w:tcPr>
          <w:p w14:paraId="6C948671">
            <w:pPr>
              <w:spacing w:line="360" w:lineRule="auto"/>
              <w:rPr>
                <w:rFonts w:ascii="宋体" w:hAnsi="宋体"/>
                <w:szCs w:val="21"/>
              </w:rPr>
            </w:pPr>
          </w:p>
        </w:tc>
        <w:tc>
          <w:tcPr>
            <w:tcW w:w="1892" w:type="dxa"/>
            <w:tcBorders>
              <w:top w:val="single" w:color="auto" w:sz="4" w:space="0"/>
              <w:left w:val="nil"/>
              <w:bottom w:val="single" w:color="auto" w:sz="4" w:space="0"/>
              <w:right w:val="single" w:color="auto" w:sz="4" w:space="0"/>
            </w:tcBorders>
            <w:vAlign w:val="center"/>
          </w:tcPr>
          <w:p w14:paraId="775053A8">
            <w:pPr>
              <w:spacing w:line="360" w:lineRule="auto"/>
              <w:rPr>
                <w:rFonts w:ascii="宋体" w:hAnsi="宋体"/>
                <w:szCs w:val="21"/>
              </w:rPr>
            </w:pPr>
          </w:p>
        </w:tc>
        <w:tc>
          <w:tcPr>
            <w:tcW w:w="1500" w:type="dxa"/>
            <w:tcBorders>
              <w:top w:val="single" w:color="auto" w:sz="4" w:space="0"/>
              <w:left w:val="nil"/>
              <w:bottom w:val="single" w:color="auto" w:sz="4" w:space="0"/>
              <w:right w:val="single" w:color="auto" w:sz="4" w:space="0"/>
            </w:tcBorders>
            <w:vAlign w:val="center"/>
          </w:tcPr>
          <w:p w14:paraId="1D2329AC">
            <w:pPr>
              <w:spacing w:line="360" w:lineRule="auto"/>
              <w:rPr>
                <w:rFonts w:ascii="宋体" w:hAnsi="宋体"/>
                <w:szCs w:val="21"/>
              </w:rPr>
            </w:pPr>
          </w:p>
        </w:tc>
        <w:tc>
          <w:tcPr>
            <w:tcW w:w="1320" w:type="dxa"/>
            <w:tcBorders>
              <w:top w:val="single" w:color="auto" w:sz="4" w:space="0"/>
              <w:left w:val="nil"/>
              <w:bottom w:val="single" w:color="auto" w:sz="4" w:space="0"/>
              <w:right w:val="single" w:color="auto" w:sz="4" w:space="0"/>
            </w:tcBorders>
            <w:vAlign w:val="center"/>
          </w:tcPr>
          <w:p w14:paraId="32744BCD">
            <w:pPr>
              <w:spacing w:line="360" w:lineRule="auto"/>
              <w:rPr>
                <w:rFonts w:ascii="宋体" w:hAnsi="宋体"/>
                <w:szCs w:val="21"/>
              </w:rPr>
            </w:pPr>
          </w:p>
        </w:tc>
        <w:tc>
          <w:tcPr>
            <w:tcW w:w="2550" w:type="dxa"/>
            <w:tcBorders>
              <w:top w:val="single" w:color="auto" w:sz="4" w:space="0"/>
              <w:left w:val="nil"/>
              <w:bottom w:val="single" w:color="auto" w:sz="4" w:space="0"/>
              <w:right w:val="single" w:color="auto" w:sz="4" w:space="0"/>
            </w:tcBorders>
            <w:vAlign w:val="center"/>
          </w:tcPr>
          <w:p w14:paraId="193F5905">
            <w:pPr>
              <w:spacing w:line="360" w:lineRule="auto"/>
              <w:rPr>
                <w:rFonts w:ascii="宋体" w:hAnsi="宋体"/>
                <w:szCs w:val="21"/>
              </w:rPr>
            </w:pPr>
          </w:p>
        </w:tc>
        <w:tc>
          <w:tcPr>
            <w:tcW w:w="1586" w:type="dxa"/>
            <w:tcBorders>
              <w:top w:val="single" w:color="auto" w:sz="4" w:space="0"/>
              <w:left w:val="nil"/>
              <w:bottom w:val="single" w:color="auto" w:sz="4" w:space="0"/>
              <w:right w:val="single" w:color="auto" w:sz="4" w:space="0"/>
            </w:tcBorders>
            <w:vAlign w:val="center"/>
          </w:tcPr>
          <w:p w14:paraId="344B4459">
            <w:pPr>
              <w:spacing w:line="360" w:lineRule="auto"/>
              <w:rPr>
                <w:rFonts w:ascii="宋体" w:hAnsi="宋体"/>
                <w:szCs w:val="21"/>
              </w:rPr>
            </w:pPr>
          </w:p>
        </w:tc>
      </w:tr>
      <w:tr w14:paraId="326F2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tcBorders>
              <w:top w:val="single" w:color="auto" w:sz="4" w:space="0"/>
              <w:left w:val="single" w:color="auto" w:sz="4" w:space="0"/>
              <w:bottom w:val="single" w:color="auto" w:sz="4" w:space="0"/>
              <w:right w:val="single" w:color="auto" w:sz="4" w:space="0"/>
            </w:tcBorders>
          </w:tcPr>
          <w:p w14:paraId="64969F97">
            <w:pPr>
              <w:spacing w:line="360" w:lineRule="auto"/>
              <w:rPr>
                <w:rFonts w:ascii="宋体" w:hAnsi="宋体"/>
                <w:szCs w:val="21"/>
              </w:rPr>
            </w:pPr>
          </w:p>
        </w:tc>
        <w:tc>
          <w:tcPr>
            <w:tcW w:w="1107" w:type="dxa"/>
            <w:tcBorders>
              <w:top w:val="single" w:color="auto" w:sz="4" w:space="0"/>
              <w:left w:val="nil"/>
              <w:bottom w:val="single" w:color="auto" w:sz="4" w:space="0"/>
              <w:right w:val="single" w:color="auto" w:sz="4" w:space="0"/>
            </w:tcBorders>
            <w:vAlign w:val="center"/>
          </w:tcPr>
          <w:p w14:paraId="4B8F101F">
            <w:pPr>
              <w:spacing w:line="360" w:lineRule="auto"/>
              <w:rPr>
                <w:rFonts w:ascii="宋体" w:hAnsi="宋体"/>
                <w:szCs w:val="21"/>
              </w:rPr>
            </w:pPr>
          </w:p>
        </w:tc>
        <w:tc>
          <w:tcPr>
            <w:tcW w:w="1892" w:type="dxa"/>
            <w:tcBorders>
              <w:top w:val="single" w:color="auto" w:sz="4" w:space="0"/>
              <w:left w:val="nil"/>
              <w:bottom w:val="single" w:color="auto" w:sz="4" w:space="0"/>
              <w:right w:val="single" w:color="auto" w:sz="4" w:space="0"/>
            </w:tcBorders>
            <w:vAlign w:val="center"/>
          </w:tcPr>
          <w:p w14:paraId="7A391FEB">
            <w:pPr>
              <w:spacing w:line="360" w:lineRule="auto"/>
              <w:rPr>
                <w:rFonts w:ascii="宋体" w:hAnsi="宋体"/>
                <w:szCs w:val="21"/>
              </w:rPr>
            </w:pPr>
          </w:p>
        </w:tc>
        <w:tc>
          <w:tcPr>
            <w:tcW w:w="1500" w:type="dxa"/>
            <w:tcBorders>
              <w:top w:val="single" w:color="auto" w:sz="4" w:space="0"/>
              <w:left w:val="nil"/>
              <w:bottom w:val="single" w:color="auto" w:sz="4" w:space="0"/>
              <w:right w:val="single" w:color="auto" w:sz="4" w:space="0"/>
            </w:tcBorders>
            <w:vAlign w:val="center"/>
          </w:tcPr>
          <w:p w14:paraId="790606C2">
            <w:pPr>
              <w:spacing w:line="360" w:lineRule="auto"/>
              <w:rPr>
                <w:rFonts w:ascii="宋体" w:hAnsi="宋体"/>
                <w:szCs w:val="21"/>
              </w:rPr>
            </w:pPr>
          </w:p>
        </w:tc>
        <w:tc>
          <w:tcPr>
            <w:tcW w:w="1320" w:type="dxa"/>
            <w:tcBorders>
              <w:top w:val="single" w:color="auto" w:sz="4" w:space="0"/>
              <w:left w:val="nil"/>
              <w:bottom w:val="single" w:color="auto" w:sz="4" w:space="0"/>
              <w:right w:val="single" w:color="auto" w:sz="4" w:space="0"/>
            </w:tcBorders>
            <w:vAlign w:val="center"/>
          </w:tcPr>
          <w:p w14:paraId="5DD06C29">
            <w:pPr>
              <w:spacing w:line="360" w:lineRule="auto"/>
              <w:rPr>
                <w:rFonts w:ascii="宋体" w:hAnsi="宋体"/>
                <w:szCs w:val="21"/>
              </w:rPr>
            </w:pPr>
          </w:p>
        </w:tc>
        <w:tc>
          <w:tcPr>
            <w:tcW w:w="2550" w:type="dxa"/>
            <w:tcBorders>
              <w:top w:val="single" w:color="auto" w:sz="4" w:space="0"/>
              <w:left w:val="nil"/>
              <w:bottom w:val="single" w:color="auto" w:sz="4" w:space="0"/>
              <w:right w:val="single" w:color="auto" w:sz="4" w:space="0"/>
            </w:tcBorders>
            <w:vAlign w:val="center"/>
          </w:tcPr>
          <w:p w14:paraId="0EA06A75">
            <w:pPr>
              <w:spacing w:line="360" w:lineRule="auto"/>
              <w:rPr>
                <w:rFonts w:ascii="宋体" w:hAnsi="宋体"/>
                <w:szCs w:val="21"/>
              </w:rPr>
            </w:pPr>
          </w:p>
        </w:tc>
        <w:tc>
          <w:tcPr>
            <w:tcW w:w="1586" w:type="dxa"/>
            <w:tcBorders>
              <w:top w:val="single" w:color="auto" w:sz="4" w:space="0"/>
              <w:left w:val="nil"/>
              <w:bottom w:val="single" w:color="auto" w:sz="4" w:space="0"/>
              <w:right w:val="single" w:color="auto" w:sz="4" w:space="0"/>
            </w:tcBorders>
            <w:vAlign w:val="center"/>
          </w:tcPr>
          <w:p w14:paraId="1F19B986">
            <w:pPr>
              <w:spacing w:line="360" w:lineRule="auto"/>
              <w:rPr>
                <w:rFonts w:ascii="宋体" w:hAnsi="宋体"/>
                <w:szCs w:val="21"/>
              </w:rPr>
            </w:pPr>
          </w:p>
        </w:tc>
      </w:tr>
      <w:tr w14:paraId="7ADA0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tcBorders>
              <w:top w:val="single" w:color="auto" w:sz="4" w:space="0"/>
              <w:left w:val="single" w:color="auto" w:sz="4" w:space="0"/>
              <w:bottom w:val="single" w:color="auto" w:sz="4" w:space="0"/>
              <w:right w:val="single" w:color="auto" w:sz="4" w:space="0"/>
            </w:tcBorders>
          </w:tcPr>
          <w:p w14:paraId="0D3179F5">
            <w:pPr>
              <w:spacing w:line="360" w:lineRule="auto"/>
              <w:rPr>
                <w:rFonts w:ascii="宋体" w:hAnsi="宋体"/>
                <w:szCs w:val="21"/>
              </w:rPr>
            </w:pPr>
          </w:p>
        </w:tc>
        <w:tc>
          <w:tcPr>
            <w:tcW w:w="1107" w:type="dxa"/>
            <w:tcBorders>
              <w:top w:val="single" w:color="auto" w:sz="4" w:space="0"/>
              <w:left w:val="nil"/>
              <w:bottom w:val="single" w:color="auto" w:sz="4" w:space="0"/>
              <w:right w:val="single" w:color="auto" w:sz="4" w:space="0"/>
            </w:tcBorders>
            <w:vAlign w:val="center"/>
          </w:tcPr>
          <w:p w14:paraId="276E59BF">
            <w:pPr>
              <w:spacing w:line="360" w:lineRule="auto"/>
              <w:rPr>
                <w:rFonts w:ascii="宋体" w:hAnsi="宋体"/>
                <w:szCs w:val="21"/>
              </w:rPr>
            </w:pPr>
          </w:p>
        </w:tc>
        <w:tc>
          <w:tcPr>
            <w:tcW w:w="1892" w:type="dxa"/>
            <w:tcBorders>
              <w:top w:val="single" w:color="auto" w:sz="4" w:space="0"/>
              <w:left w:val="nil"/>
              <w:bottom w:val="single" w:color="auto" w:sz="4" w:space="0"/>
              <w:right w:val="single" w:color="auto" w:sz="4" w:space="0"/>
            </w:tcBorders>
            <w:vAlign w:val="center"/>
          </w:tcPr>
          <w:p w14:paraId="0118C9D3">
            <w:pPr>
              <w:spacing w:line="360" w:lineRule="auto"/>
              <w:rPr>
                <w:rFonts w:ascii="宋体" w:hAnsi="宋体"/>
                <w:szCs w:val="21"/>
              </w:rPr>
            </w:pPr>
          </w:p>
        </w:tc>
        <w:tc>
          <w:tcPr>
            <w:tcW w:w="1500" w:type="dxa"/>
            <w:tcBorders>
              <w:top w:val="single" w:color="auto" w:sz="4" w:space="0"/>
              <w:left w:val="nil"/>
              <w:bottom w:val="single" w:color="auto" w:sz="4" w:space="0"/>
              <w:right w:val="single" w:color="auto" w:sz="4" w:space="0"/>
            </w:tcBorders>
            <w:vAlign w:val="center"/>
          </w:tcPr>
          <w:p w14:paraId="3D3DDD23">
            <w:pPr>
              <w:spacing w:line="360" w:lineRule="auto"/>
              <w:rPr>
                <w:rFonts w:ascii="宋体" w:hAnsi="宋体"/>
                <w:szCs w:val="21"/>
              </w:rPr>
            </w:pPr>
          </w:p>
        </w:tc>
        <w:tc>
          <w:tcPr>
            <w:tcW w:w="1320" w:type="dxa"/>
            <w:tcBorders>
              <w:top w:val="single" w:color="auto" w:sz="4" w:space="0"/>
              <w:left w:val="nil"/>
              <w:bottom w:val="single" w:color="auto" w:sz="4" w:space="0"/>
              <w:right w:val="single" w:color="auto" w:sz="4" w:space="0"/>
            </w:tcBorders>
            <w:vAlign w:val="center"/>
          </w:tcPr>
          <w:p w14:paraId="1337CBD6">
            <w:pPr>
              <w:spacing w:line="360" w:lineRule="auto"/>
              <w:rPr>
                <w:rFonts w:ascii="宋体" w:hAnsi="宋体"/>
                <w:szCs w:val="21"/>
              </w:rPr>
            </w:pPr>
          </w:p>
        </w:tc>
        <w:tc>
          <w:tcPr>
            <w:tcW w:w="2550" w:type="dxa"/>
            <w:tcBorders>
              <w:top w:val="single" w:color="auto" w:sz="4" w:space="0"/>
              <w:left w:val="nil"/>
              <w:bottom w:val="single" w:color="auto" w:sz="4" w:space="0"/>
              <w:right w:val="single" w:color="auto" w:sz="4" w:space="0"/>
            </w:tcBorders>
            <w:vAlign w:val="center"/>
          </w:tcPr>
          <w:p w14:paraId="3504AF49">
            <w:pPr>
              <w:spacing w:line="360" w:lineRule="auto"/>
              <w:rPr>
                <w:rFonts w:ascii="宋体" w:hAnsi="宋体"/>
                <w:szCs w:val="21"/>
              </w:rPr>
            </w:pPr>
          </w:p>
        </w:tc>
        <w:tc>
          <w:tcPr>
            <w:tcW w:w="1586" w:type="dxa"/>
            <w:tcBorders>
              <w:top w:val="single" w:color="auto" w:sz="4" w:space="0"/>
              <w:left w:val="nil"/>
              <w:bottom w:val="single" w:color="auto" w:sz="4" w:space="0"/>
              <w:right w:val="single" w:color="auto" w:sz="4" w:space="0"/>
            </w:tcBorders>
            <w:vAlign w:val="center"/>
          </w:tcPr>
          <w:p w14:paraId="4ADE1ADA">
            <w:pPr>
              <w:spacing w:line="360" w:lineRule="auto"/>
              <w:rPr>
                <w:rFonts w:ascii="宋体" w:hAnsi="宋体"/>
                <w:szCs w:val="21"/>
              </w:rPr>
            </w:pPr>
          </w:p>
        </w:tc>
      </w:tr>
      <w:tr w14:paraId="7AEC6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tcBorders>
              <w:top w:val="single" w:color="auto" w:sz="4" w:space="0"/>
              <w:left w:val="single" w:color="auto" w:sz="4" w:space="0"/>
              <w:bottom w:val="single" w:color="auto" w:sz="4" w:space="0"/>
              <w:right w:val="single" w:color="auto" w:sz="4" w:space="0"/>
            </w:tcBorders>
          </w:tcPr>
          <w:p w14:paraId="4E35DFDF">
            <w:pPr>
              <w:spacing w:line="360" w:lineRule="auto"/>
              <w:rPr>
                <w:rFonts w:ascii="宋体" w:hAnsi="宋体"/>
                <w:szCs w:val="21"/>
              </w:rPr>
            </w:pPr>
          </w:p>
        </w:tc>
        <w:tc>
          <w:tcPr>
            <w:tcW w:w="1107" w:type="dxa"/>
            <w:tcBorders>
              <w:top w:val="single" w:color="auto" w:sz="4" w:space="0"/>
              <w:left w:val="nil"/>
              <w:bottom w:val="single" w:color="auto" w:sz="4" w:space="0"/>
              <w:right w:val="single" w:color="auto" w:sz="4" w:space="0"/>
            </w:tcBorders>
            <w:vAlign w:val="center"/>
          </w:tcPr>
          <w:p w14:paraId="4AEE1D23">
            <w:pPr>
              <w:spacing w:line="360" w:lineRule="auto"/>
              <w:rPr>
                <w:rFonts w:ascii="宋体" w:hAnsi="宋体"/>
                <w:szCs w:val="21"/>
              </w:rPr>
            </w:pPr>
          </w:p>
        </w:tc>
        <w:tc>
          <w:tcPr>
            <w:tcW w:w="1892" w:type="dxa"/>
            <w:tcBorders>
              <w:top w:val="single" w:color="auto" w:sz="4" w:space="0"/>
              <w:left w:val="nil"/>
              <w:bottom w:val="single" w:color="auto" w:sz="4" w:space="0"/>
              <w:right w:val="single" w:color="auto" w:sz="4" w:space="0"/>
            </w:tcBorders>
            <w:vAlign w:val="center"/>
          </w:tcPr>
          <w:p w14:paraId="08598DDA">
            <w:pPr>
              <w:spacing w:line="360" w:lineRule="auto"/>
              <w:rPr>
                <w:rFonts w:ascii="宋体" w:hAnsi="宋体"/>
                <w:szCs w:val="21"/>
              </w:rPr>
            </w:pPr>
          </w:p>
        </w:tc>
        <w:tc>
          <w:tcPr>
            <w:tcW w:w="1500" w:type="dxa"/>
            <w:tcBorders>
              <w:top w:val="single" w:color="auto" w:sz="4" w:space="0"/>
              <w:left w:val="nil"/>
              <w:bottom w:val="single" w:color="auto" w:sz="4" w:space="0"/>
              <w:right w:val="single" w:color="auto" w:sz="4" w:space="0"/>
            </w:tcBorders>
            <w:vAlign w:val="center"/>
          </w:tcPr>
          <w:p w14:paraId="23B74CC6">
            <w:pPr>
              <w:spacing w:line="360" w:lineRule="auto"/>
              <w:rPr>
                <w:rFonts w:ascii="宋体" w:hAnsi="宋体"/>
                <w:szCs w:val="21"/>
              </w:rPr>
            </w:pPr>
          </w:p>
        </w:tc>
        <w:tc>
          <w:tcPr>
            <w:tcW w:w="1320" w:type="dxa"/>
            <w:tcBorders>
              <w:top w:val="single" w:color="auto" w:sz="4" w:space="0"/>
              <w:left w:val="nil"/>
              <w:bottom w:val="single" w:color="auto" w:sz="4" w:space="0"/>
              <w:right w:val="single" w:color="auto" w:sz="4" w:space="0"/>
            </w:tcBorders>
            <w:vAlign w:val="center"/>
          </w:tcPr>
          <w:p w14:paraId="7E3D0067">
            <w:pPr>
              <w:spacing w:line="360" w:lineRule="auto"/>
              <w:rPr>
                <w:rFonts w:ascii="宋体" w:hAnsi="宋体"/>
                <w:szCs w:val="21"/>
              </w:rPr>
            </w:pPr>
          </w:p>
        </w:tc>
        <w:tc>
          <w:tcPr>
            <w:tcW w:w="2550" w:type="dxa"/>
            <w:tcBorders>
              <w:top w:val="single" w:color="auto" w:sz="4" w:space="0"/>
              <w:left w:val="nil"/>
              <w:bottom w:val="single" w:color="auto" w:sz="4" w:space="0"/>
              <w:right w:val="single" w:color="auto" w:sz="4" w:space="0"/>
            </w:tcBorders>
            <w:vAlign w:val="center"/>
          </w:tcPr>
          <w:p w14:paraId="77BC47C5">
            <w:pPr>
              <w:spacing w:line="360" w:lineRule="auto"/>
              <w:rPr>
                <w:rFonts w:ascii="宋体" w:hAnsi="宋体"/>
                <w:szCs w:val="21"/>
              </w:rPr>
            </w:pPr>
          </w:p>
        </w:tc>
        <w:tc>
          <w:tcPr>
            <w:tcW w:w="1586" w:type="dxa"/>
            <w:tcBorders>
              <w:top w:val="single" w:color="auto" w:sz="4" w:space="0"/>
              <w:left w:val="nil"/>
              <w:bottom w:val="single" w:color="auto" w:sz="4" w:space="0"/>
              <w:right w:val="single" w:color="auto" w:sz="4" w:space="0"/>
            </w:tcBorders>
            <w:vAlign w:val="center"/>
          </w:tcPr>
          <w:p w14:paraId="4F7B6720">
            <w:pPr>
              <w:spacing w:line="360" w:lineRule="auto"/>
              <w:rPr>
                <w:rFonts w:ascii="宋体" w:hAnsi="宋体"/>
                <w:szCs w:val="21"/>
              </w:rPr>
            </w:pPr>
          </w:p>
        </w:tc>
      </w:tr>
      <w:tr w14:paraId="6D400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tcBorders>
              <w:top w:val="single" w:color="auto" w:sz="4" w:space="0"/>
              <w:left w:val="single" w:color="auto" w:sz="4" w:space="0"/>
              <w:bottom w:val="single" w:color="auto" w:sz="4" w:space="0"/>
              <w:right w:val="single" w:color="auto" w:sz="4" w:space="0"/>
            </w:tcBorders>
          </w:tcPr>
          <w:p w14:paraId="043AFE13">
            <w:pPr>
              <w:spacing w:line="360" w:lineRule="auto"/>
              <w:rPr>
                <w:rFonts w:ascii="宋体" w:hAnsi="宋体"/>
                <w:szCs w:val="21"/>
              </w:rPr>
            </w:pPr>
          </w:p>
        </w:tc>
        <w:tc>
          <w:tcPr>
            <w:tcW w:w="1107" w:type="dxa"/>
            <w:tcBorders>
              <w:top w:val="single" w:color="auto" w:sz="4" w:space="0"/>
              <w:left w:val="nil"/>
              <w:bottom w:val="single" w:color="auto" w:sz="4" w:space="0"/>
              <w:right w:val="single" w:color="auto" w:sz="4" w:space="0"/>
            </w:tcBorders>
            <w:vAlign w:val="center"/>
          </w:tcPr>
          <w:p w14:paraId="6E462EDE">
            <w:pPr>
              <w:spacing w:line="360" w:lineRule="auto"/>
              <w:rPr>
                <w:rFonts w:ascii="宋体" w:hAnsi="宋体"/>
                <w:szCs w:val="21"/>
              </w:rPr>
            </w:pPr>
          </w:p>
        </w:tc>
        <w:tc>
          <w:tcPr>
            <w:tcW w:w="1892" w:type="dxa"/>
            <w:tcBorders>
              <w:top w:val="single" w:color="auto" w:sz="4" w:space="0"/>
              <w:left w:val="nil"/>
              <w:bottom w:val="single" w:color="auto" w:sz="4" w:space="0"/>
              <w:right w:val="single" w:color="auto" w:sz="4" w:space="0"/>
            </w:tcBorders>
            <w:vAlign w:val="center"/>
          </w:tcPr>
          <w:p w14:paraId="2DA57D1F">
            <w:pPr>
              <w:spacing w:line="360" w:lineRule="auto"/>
              <w:rPr>
                <w:rFonts w:ascii="宋体" w:hAnsi="宋体"/>
                <w:szCs w:val="21"/>
              </w:rPr>
            </w:pPr>
          </w:p>
        </w:tc>
        <w:tc>
          <w:tcPr>
            <w:tcW w:w="1500" w:type="dxa"/>
            <w:tcBorders>
              <w:top w:val="single" w:color="auto" w:sz="4" w:space="0"/>
              <w:left w:val="nil"/>
              <w:bottom w:val="single" w:color="auto" w:sz="4" w:space="0"/>
              <w:right w:val="single" w:color="auto" w:sz="4" w:space="0"/>
            </w:tcBorders>
            <w:vAlign w:val="center"/>
          </w:tcPr>
          <w:p w14:paraId="4CEE573B">
            <w:pPr>
              <w:spacing w:line="360" w:lineRule="auto"/>
              <w:rPr>
                <w:rFonts w:ascii="宋体" w:hAnsi="宋体"/>
                <w:szCs w:val="21"/>
              </w:rPr>
            </w:pPr>
          </w:p>
        </w:tc>
        <w:tc>
          <w:tcPr>
            <w:tcW w:w="1320" w:type="dxa"/>
            <w:tcBorders>
              <w:top w:val="single" w:color="auto" w:sz="4" w:space="0"/>
              <w:left w:val="nil"/>
              <w:bottom w:val="single" w:color="auto" w:sz="4" w:space="0"/>
              <w:right w:val="single" w:color="auto" w:sz="4" w:space="0"/>
            </w:tcBorders>
            <w:vAlign w:val="center"/>
          </w:tcPr>
          <w:p w14:paraId="1A542E9E">
            <w:pPr>
              <w:spacing w:line="360" w:lineRule="auto"/>
              <w:rPr>
                <w:rFonts w:ascii="宋体" w:hAnsi="宋体"/>
                <w:szCs w:val="21"/>
              </w:rPr>
            </w:pPr>
          </w:p>
        </w:tc>
        <w:tc>
          <w:tcPr>
            <w:tcW w:w="2550" w:type="dxa"/>
            <w:tcBorders>
              <w:top w:val="single" w:color="auto" w:sz="4" w:space="0"/>
              <w:left w:val="nil"/>
              <w:bottom w:val="single" w:color="auto" w:sz="4" w:space="0"/>
              <w:right w:val="single" w:color="auto" w:sz="4" w:space="0"/>
            </w:tcBorders>
            <w:vAlign w:val="center"/>
          </w:tcPr>
          <w:p w14:paraId="0D3B255B">
            <w:pPr>
              <w:spacing w:line="360" w:lineRule="auto"/>
              <w:rPr>
                <w:rFonts w:ascii="宋体" w:hAnsi="宋体"/>
                <w:szCs w:val="21"/>
              </w:rPr>
            </w:pPr>
          </w:p>
        </w:tc>
        <w:tc>
          <w:tcPr>
            <w:tcW w:w="1586" w:type="dxa"/>
            <w:tcBorders>
              <w:top w:val="single" w:color="auto" w:sz="4" w:space="0"/>
              <w:left w:val="nil"/>
              <w:bottom w:val="single" w:color="auto" w:sz="4" w:space="0"/>
              <w:right w:val="single" w:color="auto" w:sz="4" w:space="0"/>
            </w:tcBorders>
            <w:vAlign w:val="center"/>
          </w:tcPr>
          <w:p w14:paraId="2FFD7D04">
            <w:pPr>
              <w:spacing w:line="360" w:lineRule="auto"/>
              <w:rPr>
                <w:rFonts w:ascii="宋体" w:hAnsi="宋体"/>
                <w:szCs w:val="21"/>
              </w:rPr>
            </w:pPr>
          </w:p>
        </w:tc>
      </w:tr>
      <w:tr w14:paraId="75604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tcBorders>
              <w:top w:val="single" w:color="auto" w:sz="4" w:space="0"/>
              <w:left w:val="single" w:color="auto" w:sz="4" w:space="0"/>
              <w:bottom w:val="single" w:color="auto" w:sz="4" w:space="0"/>
              <w:right w:val="single" w:color="auto" w:sz="4" w:space="0"/>
            </w:tcBorders>
          </w:tcPr>
          <w:p w14:paraId="3AD528DA">
            <w:pPr>
              <w:spacing w:line="360" w:lineRule="auto"/>
              <w:rPr>
                <w:rFonts w:ascii="宋体" w:hAnsi="宋体"/>
                <w:szCs w:val="21"/>
              </w:rPr>
            </w:pPr>
          </w:p>
        </w:tc>
        <w:tc>
          <w:tcPr>
            <w:tcW w:w="1107" w:type="dxa"/>
            <w:tcBorders>
              <w:top w:val="single" w:color="auto" w:sz="4" w:space="0"/>
              <w:left w:val="nil"/>
              <w:bottom w:val="single" w:color="auto" w:sz="4" w:space="0"/>
              <w:right w:val="single" w:color="auto" w:sz="4" w:space="0"/>
            </w:tcBorders>
            <w:vAlign w:val="center"/>
          </w:tcPr>
          <w:p w14:paraId="381A1B35">
            <w:pPr>
              <w:spacing w:line="360" w:lineRule="auto"/>
              <w:rPr>
                <w:rFonts w:ascii="宋体" w:hAnsi="宋体"/>
                <w:szCs w:val="21"/>
              </w:rPr>
            </w:pPr>
          </w:p>
        </w:tc>
        <w:tc>
          <w:tcPr>
            <w:tcW w:w="1892" w:type="dxa"/>
            <w:tcBorders>
              <w:top w:val="single" w:color="auto" w:sz="4" w:space="0"/>
              <w:left w:val="nil"/>
              <w:bottom w:val="single" w:color="auto" w:sz="4" w:space="0"/>
              <w:right w:val="single" w:color="auto" w:sz="4" w:space="0"/>
            </w:tcBorders>
            <w:vAlign w:val="center"/>
          </w:tcPr>
          <w:p w14:paraId="285D40FA">
            <w:pPr>
              <w:spacing w:line="360" w:lineRule="auto"/>
              <w:rPr>
                <w:rFonts w:ascii="宋体" w:hAnsi="宋体"/>
                <w:szCs w:val="21"/>
              </w:rPr>
            </w:pPr>
          </w:p>
        </w:tc>
        <w:tc>
          <w:tcPr>
            <w:tcW w:w="1500" w:type="dxa"/>
            <w:tcBorders>
              <w:top w:val="single" w:color="auto" w:sz="4" w:space="0"/>
              <w:left w:val="nil"/>
              <w:bottom w:val="single" w:color="auto" w:sz="4" w:space="0"/>
              <w:right w:val="single" w:color="auto" w:sz="4" w:space="0"/>
            </w:tcBorders>
            <w:vAlign w:val="center"/>
          </w:tcPr>
          <w:p w14:paraId="3772B7DC">
            <w:pPr>
              <w:spacing w:line="360" w:lineRule="auto"/>
              <w:rPr>
                <w:rFonts w:ascii="宋体" w:hAnsi="宋体"/>
                <w:szCs w:val="21"/>
              </w:rPr>
            </w:pPr>
          </w:p>
        </w:tc>
        <w:tc>
          <w:tcPr>
            <w:tcW w:w="1320" w:type="dxa"/>
            <w:tcBorders>
              <w:top w:val="single" w:color="auto" w:sz="4" w:space="0"/>
              <w:left w:val="nil"/>
              <w:bottom w:val="single" w:color="auto" w:sz="4" w:space="0"/>
              <w:right w:val="single" w:color="auto" w:sz="4" w:space="0"/>
            </w:tcBorders>
            <w:vAlign w:val="center"/>
          </w:tcPr>
          <w:p w14:paraId="3AAE18EB">
            <w:pPr>
              <w:spacing w:line="360" w:lineRule="auto"/>
              <w:rPr>
                <w:rFonts w:ascii="宋体" w:hAnsi="宋体"/>
                <w:szCs w:val="21"/>
              </w:rPr>
            </w:pPr>
          </w:p>
        </w:tc>
        <w:tc>
          <w:tcPr>
            <w:tcW w:w="2550" w:type="dxa"/>
            <w:tcBorders>
              <w:top w:val="single" w:color="auto" w:sz="4" w:space="0"/>
              <w:left w:val="nil"/>
              <w:bottom w:val="single" w:color="auto" w:sz="4" w:space="0"/>
              <w:right w:val="single" w:color="auto" w:sz="4" w:space="0"/>
            </w:tcBorders>
            <w:vAlign w:val="center"/>
          </w:tcPr>
          <w:p w14:paraId="5F36A4B2">
            <w:pPr>
              <w:spacing w:line="360" w:lineRule="auto"/>
              <w:rPr>
                <w:rFonts w:ascii="宋体" w:hAnsi="宋体"/>
                <w:szCs w:val="21"/>
              </w:rPr>
            </w:pPr>
          </w:p>
        </w:tc>
        <w:tc>
          <w:tcPr>
            <w:tcW w:w="1586" w:type="dxa"/>
            <w:tcBorders>
              <w:top w:val="single" w:color="auto" w:sz="4" w:space="0"/>
              <w:left w:val="nil"/>
              <w:bottom w:val="single" w:color="auto" w:sz="4" w:space="0"/>
              <w:right w:val="single" w:color="auto" w:sz="4" w:space="0"/>
            </w:tcBorders>
            <w:vAlign w:val="center"/>
          </w:tcPr>
          <w:p w14:paraId="00D69791">
            <w:pPr>
              <w:spacing w:line="360" w:lineRule="auto"/>
              <w:rPr>
                <w:rFonts w:ascii="宋体" w:hAnsi="宋体"/>
                <w:szCs w:val="21"/>
              </w:rPr>
            </w:pPr>
          </w:p>
        </w:tc>
      </w:tr>
      <w:tr w14:paraId="4FA86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61" w:type="dxa"/>
            <w:tcBorders>
              <w:top w:val="single" w:color="auto" w:sz="4" w:space="0"/>
              <w:left w:val="single" w:color="auto" w:sz="4" w:space="0"/>
              <w:bottom w:val="single" w:color="auto" w:sz="4" w:space="0"/>
              <w:right w:val="single" w:color="auto" w:sz="4" w:space="0"/>
            </w:tcBorders>
          </w:tcPr>
          <w:p w14:paraId="1A2602CA">
            <w:pPr>
              <w:spacing w:line="360" w:lineRule="auto"/>
              <w:rPr>
                <w:rFonts w:ascii="宋体" w:hAnsi="宋体"/>
                <w:szCs w:val="21"/>
              </w:rPr>
            </w:pPr>
          </w:p>
        </w:tc>
        <w:tc>
          <w:tcPr>
            <w:tcW w:w="1107" w:type="dxa"/>
            <w:tcBorders>
              <w:top w:val="single" w:color="auto" w:sz="4" w:space="0"/>
              <w:left w:val="nil"/>
              <w:bottom w:val="single" w:color="auto" w:sz="4" w:space="0"/>
              <w:right w:val="single" w:color="auto" w:sz="4" w:space="0"/>
            </w:tcBorders>
            <w:vAlign w:val="center"/>
          </w:tcPr>
          <w:p w14:paraId="7D57156F">
            <w:pPr>
              <w:spacing w:line="360" w:lineRule="auto"/>
              <w:rPr>
                <w:rFonts w:ascii="宋体" w:hAnsi="宋体"/>
                <w:szCs w:val="21"/>
              </w:rPr>
            </w:pPr>
          </w:p>
        </w:tc>
        <w:tc>
          <w:tcPr>
            <w:tcW w:w="1892" w:type="dxa"/>
            <w:tcBorders>
              <w:top w:val="single" w:color="auto" w:sz="4" w:space="0"/>
              <w:left w:val="nil"/>
              <w:bottom w:val="single" w:color="auto" w:sz="4" w:space="0"/>
              <w:right w:val="single" w:color="auto" w:sz="4" w:space="0"/>
            </w:tcBorders>
            <w:vAlign w:val="center"/>
          </w:tcPr>
          <w:p w14:paraId="748C3121">
            <w:pPr>
              <w:spacing w:line="360" w:lineRule="auto"/>
              <w:rPr>
                <w:rFonts w:ascii="宋体" w:hAnsi="宋体"/>
                <w:szCs w:val="21"/>
              </w:rPr>
            </w:pPr>
          </w:p>
        </w:tc>
        <w:tc>
          <w:tcPr>
            <w:tcW w:w="1500" w:type="dxa"/>
            <w:tcBorders>
              <w:top w:val="single" w:color="auto" w:sz="4" w:space="0"/>
              <w:left w:val="nil"/>
              <w:bottom w:val="single" w:color="auto" w:sz="4" w:space="0"/>
              <w:right w:val="single" w:color="auto" w:sz="4" w:space="0"/>
            </w:tcBorders>
            <w:vAlign w:val="center"/>
          </w:tcPr>
          <w:p w14:paraId="1E5C58DA">
            <w:pPr>
              <w:spacing w:line="360" w:lineRule="auto"/>
              <w:rPr>
                <w:rFonts w:ascii="宋体" w:hAnsi="宋体"/>
                <w:szCs w:val="21"/>
              </w:rPr>
            </w:pPr>
          </w:p>
        </w:tc>
        <w:tc>
          <w:tcPr>
            <w:tcW w:w="1320" w:type="dxa"/>
            <w:tcBorders>
              <w:top w:val="single" w:color="auto" w:sz="4" w:space="0"/>
              <w:left w:val="nil"/>
              <w:bottom w:val="single" w:color="auto" w:sz="4" w:space="0"/>
              <w:right w:val="single" w:color="auto" w:sz="4" w:space="0"/>
            </w:tcBorders>
            <w:vAlign w:val="center"/>
          </w:tcPr>
          <w:p w14:paraId="371769BC">
            <w:pPr>
              <w:spacing w:line="360" w:lineRule="auto"/>
              <w:rPr>
                <w:rFonts w:ascii="宋体" w:hAnsi="宋体"/>
                <w:szCs w:val="21"/>
              </w:rPr>
            </w:pPr>
          </w:p>
        </w:tc>
        <w:tc>
          <w:tcPr>
            <w:tcW w:w="2550" w:type="dxa"/>
            <w:tcBorders>
              <w:top w:val="single" w:color="auto" w:sz="4" w:space="0"/>
              <w:left w:val="nil"/>
              <w:bottom w:val="single" w:color="auto" w:sz="4" w:space="0"/>
              <w:right w:val="single" w:color="auto" w:sz="4" w:space="0"/>
            </w:tcBorders>
            <w:vAlign w:val="center"/>
          </w:tcPr>
          <w:p w14:paraId="7F3B58D7">
            <w:pPr>
              <w:spacing w:line="360" w:lineRule="auto"/>
              <w:rPr>
                <w:rFonts w:ascii="宋体" w:hAnsi="宋体"/>
                <w:szCs w:val="21"/>
              </w:rPr>
            </w:pPr>
          </w:p>
        </w:tc>
        <w:tc>
          <w:tcPr>
            <w:tcW w:w="1586" w:type="dxa"/>
            <w:tcBorders>
              <w:top w:val="single" w:color="auto" w:sz="4" w:space="0"/>
              <w:left w:val="nil"/>
              <w:bottom w:val="single" w:color="auto" w:sz="4" w:space="0"/>
              <w:right w:val="single" w:color="auto" w:sz="4" w:space="0"/>
            </w:tcBorders>
            <w:vAlign w:val="center"/>
          </w:tcPr>
          <w:p w14:paraId="0C6969AD">
            <w:pPr>
              <w:spacing w:line="360" w:lineRule="auto"/>
              <w:rPr>
                <w:rFonts w:ascii="宋体" w:hAnsi="宋体"/>
                <w:szCs w:val="21"/>
              </w:rPr>
            </w:pPr>
          </w:p>
        </w:tc>
      </w:tr>
      <w:tr w14:paraId="38823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tcBorders>
              <w:top w:val="single" w:color="auto" w:sz="4" w:space="0"/>
              <w:left w:val="single" w:color="auto" w:sz="4" w:space="0"/>
              <w:bottom w:val="single" w:color="auto" w:sz="4" w:space="0"/>
              <w:right w:val="single" w:color="auto" w:sz="4" w:space="0"/>
            </w:tcBorders>
          </w:tcPr>
          <w:p w14:paraId="59B54527">
            <w:pPr>
              <w:spacing w:line="360" w:lineRule="auto"/>
              <w:rPr>
                <w:rFonts w:ascii="宋体" w:hAnsi="宋体"/>
                <w:szCs w:val="21"/>
              </w:rPr>
            </w:pPr>
          </w:p>
        </w:tc>
        <w:tc>
          <w:tcPr>
            <w:tcW w:w="1107" w:type="dxa"/>
            <w:tcBorders>
              <w:top w:val="single" w:color="auto" w:sz="4" w:space="0"/>
              <w:left w:val="nil"/>
              <w:bottom w:val="single" w:color="auto" w:sz="4" w:space="0"/>
              <w:right w:val="single" w:color="auto" w:sz="4" w:space="0"/>
            </w:tcBorders>
            <w:vAlign w:val="center"/>
          </w:tcPr>
          <w:p w14:paraId="7E91AEF1">
            <w:pPr>
              <w:spacing w:line="360" w:lineRule="auto"/>
              <w:rPr>
                <w:rFonts w:ascii="宋体" w:hAnsi="宋体"/>
                <w:szCs w:val="21"/>
              </w:rPr>
            </w:pPr>
          </w:p>
        </w:tc>
        <w:tc>
          <w:tcPr>
            <w:tcW w:w="1892" w:type="dxa"/>
            <w:tcBorders>
              <w:top w:val="single" w:color="auto" w:sz="4" w:space="0"/>
              <w:left w:val="nil"/>
              <w:bottom w:val="single" w:color="auto" w:sz="4" w:space="0"/>
              <w:right w:val="single" w:color="auto" w:sz="4" w:space="0"/>
            </w:tcBorders>
            <w:vAlign w:val="center"/>
          </w:tcPr>
          <w:p w14:paraId="0DC49150">
            <w:pPr>
              <w:spacing w:line="360" w:lineRule="auto"/>
              <w:rPr>
                <w:rFonts w:ascii="宋体" w:hAnsi="宋体"/>
                <w:szCs w:val="21"/>
              </w:rPr>
            </w:pPr>
          </w:p>
        </w:tc>
        <w:tc>
          <w:tcPr>
            <w:tcW w:w="1500" w:type="dxa"/>
            <w:tcBorders>
              <w:top w:val="single" w:color="auto" w:sz="4" w:space="0"/>
              <w:left w:val="nil"/>
              <w:bottom w:val="single" w:color="auto" w:sz="4" w:space="0"/>
              <w:right w:val="single" w:color="auto" w:sz="4" w:space="0"/>
            </w:tcBorders>
            <w:vAlign w:val="center"/>
          </w:tcPr>
          <w:p w14:paraId="2DE9D15D">
            <w:pPr>
              <w:spacing w:line="360" w:lineRule="auto"/>
              <w:rPr>
                <w:rFonts w:ascii="宋体" w:hAnsi="宋体"/>
                <w:szCs w:val="21"/>
              </w:rPr>
            </w:pPr>
          </w:p>
        </w:tc>
        <w:tc>
          <w:tcPr>
            <w:tcW w:w="1320" w:type="dxa"/>
            <w:tcBorders>
              <w:top w:val="single" w:color="auto" w:sz="4" w:space="0"/>
              <w:left w:val="nil"/>
              <w:bottom w:val="single" w:color="auto" w:sz="4" w:space="0"/>
              <w:right w:val="single" w:color="auto" w:sz="4" w:space="0"/>
            </w:tcBorders>
            <w:vAlign w:val="center"/>
          </w:tcPr>
          <w:p w14:paraId="084610C7">
            <w:pPr>
              <w:spacing w:line="360" w:lineRule="auto"/>
              <w:rPr>
                <w:rFonts w:ascii="宋体" w:hAnsi="宋体"/>
                <w:szCs w:val="21"/>
              </w:rPr>
            </w:pPr>
          </w:p>
        </w:tc>
        <w:tc>
          <w:tcPr>
            <w:tcW w:w="2550" w:type="dxa"/>
            <w:tcBorders>
              <w:top w:val="single" w:color="auto" w:sz="4" w:space="0"/>
              <w:left w:val="nil"/>
              <w:bottom w:val="single" w:color="auto" w:sz="4" w:space="0"/>
              <w:right w:val="single" w:color="auto" w:sz="4" w:space="0"/>
            </w:tcBorders>
            <w:vAlign w:val="center"/>
          </w:tcPr>
          <w:p w14:paraId="2CB55791">
            <w:pPr>
              <w:spacing w:line="360" w:lineRule="auto"/>
              <w:rPr>
                <w:rFonts w:ascii="宋体" w:hAnsi="宋体"/>
                <w:szCs w:val="21"/>
              </w:rPr>
            </w:pPr>
          </w:p>
        </w:tc>
        <w:tc>
          <w:tcPr>
            <w:tcW w:w="1586" w:type="dxa"/>
            <w:tcBorders>
              <w:top w:val="single" w:color="auto" w:sz="4" w:space="0"/>
              <w:left w:val="nil"/>
              <w:bottom w:val="single" w:color="auto" w:sz="4" w:space="0"/>
              <w:right w:val="single" w:color="auto" w:sz="4" w:space="0"/>
            </w:tcBorders>
            <w:vAlign w:val="center"/>
          </w:tcPr>
          <w:p w14:paraId="65399927">
            <w:pPr>
              <w:spacing w:line="360" w:lineRule="auto"/>
              <w:rPr>
                <w:rFonts w:ascii="宋体" w:hAnsi="宋体"/>
                <w:szCs w:val="21"/>
              </w:rPr>
            </w:pPr>
          </w:p>
        </w:tc>
      </w:tr>
      <w:tr w14:paraId="59E2B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tcBorders>
              <w:top w:val="single" w:color="auto" w:sz="4" w:space="0"/>
              <w:left w:val="single" w:color="auto" w:sz="4" w:space="0"/>
              <w:bottom w:val="single" w:color="auto" w:sz="4" w:space="0"/>
              <w:right w:val="single" w:color="auto" w:sz="4" w:space="0"/>
            </w:tcBorders>
          </w:tcPr>
          <w:p w14:paraId="72400606">
            <w:pPr>
              <w:spacing w:line="360" w:lineRule="auto"/>
              <w:rPr>
                <w:rFonts w:ascii="宋体" w:hAnsi="宋体"/>
                <w:szCs w:val="21"/>
              </w:rPr>
            </w:pPr>
          </w:p>
        </w:tc>
        <w:tc>
          <w:tcPr>
            <w:tcW w:w="1107" w:type="dxa"/>
            <w:tcBorders>
              <w:top w:val="single" w:color="auto" w:sz="4" w:space="0"/>
              <w:left w:val="nil"/>
              <w:bottom w:val="single" w:color="auto" w:sz="4" w:space="0"/>
              <w:right w:val="single" w:color="auto" w:sz="4" w:space="0"/>
            </w:tcBorders>
            <w:vAlign w:val="center"/>
          </w:tcPr>
          <w:p w14:paraId="07540E88">
            <w:pPr>
              <w:spacing w:line="360" w:lineRule="auto"/>
              <w:rPr>
                <w:rFonts w:ascii="宋体" w:hAnsi="宋体"/>
                <w:szCs w:val="21"/>
              </w:rPr>
            </w:pPr>
          </w:p>
        </w:tc>
        <w:tc>
          <w:tcPr>
            <w:tcW w:w="1892" w:type="dxa"/>
            <w:tcBorders>
              <w:top w:val="single" w:color="auto" w:sz="4" w:space="0"/>
              <w:left w:val="nil"/>
              <w:bottom w:val="single" w:color="auto" w:sz="4" w:space="0"/>
              <w:right w:val="single" w:color="auto" w:sz="4" w:space="0"/>
            </w:tcBorders>
            <w:vAlign w:val="center"/>
          </w:tcPr>
          <w:p w14:paraId="32F55EA2">
            <w:pPr>
              <w:spacing w:line="360" w:lineRule="auto"/>
              <w:rPr>
                <w:rFonts w:ascii="宋体" w:hAnsi="宋体"/>
                <w:szCs w:val="21"/>
              </w:rPr>
            </w:pPr>
          </w:p>
        </w:tc>
        <w:tc>
          <w:tcPr>
            <w:tcW w:w="1500" w:type="dxa"/>
            <w:tcBorders>
              <w:top w:val="single" w:color="auto" w:sz="4" w:space="0"/>
              <w:left w:val="nil"/>
              <w:bottom w:val="single" w:color="auto" w:sz="4" w:space="0"/>
              <w:right w:val="single" w:color="auto" w:sz="4" w:space="0"/>
            </w:tcBorders>
            <w:vAlign w:val="center"/>
          </w:tcPr>
          <w:p w14:paraId="384F8BAE">
            <w:pPr>
              <w:spacing w:line="360" w:lineRule="auto"/>
              <w:rPr>
                <w:rFonts w:ascii="宋体" w:hAnsi="宋体"/>
                <w:szCs w:val="21"/>
              </w:rPr>
            </w:pPr>
          </w:p>
        </w:tc>
        <w:tc>
          <w:tcPr>
            <w:tcW w:w="1320" w:type="dxa"/>
            <w:tcBorders>
              <w:top w:val="single" w:color="auto" w:sz="4" w:space="0"/>
              <w:left w:val="nil"/>
              <w:bottom w:val="single" w:color="auto" w:sz="4" w:space="0"/>
              <w:right w:val="single" w:color="auto" w:sz="4" w:space="0"/>
            </w:tcBorders>
            <w:vAlign w:val="center"/>
          </w:tcPr>
          <w:p w14:paraId="4D3AE29E">
            <w:pPr>
              <w:spacing w:line="360" w:lineRule="auto"/>
              <w:rPr>
                <w:rFonts w:ascii="宋体" w:hAnsi="宋体"/>
                <w:szCs w:val="21"/>
              </w:rPr>
            </w:pPr>
          </w:p>
        </w:tc>
        <w:tc>
          <w:tcPr>
            <w:tcW w:w="2550" w:type="dxa"/>
            <w:tcBorders>
              <w:top w:val="single" w:color="auto" w:sz="4" w:space="0"/>
              <w:left w:val="nil"/>
              <w:bottom w:val="single" w:color="auto" w:sz="4" w:space="0"/>
              <w:right w:val="single" w:color="auto" w:sz="4" w:space="0"/>
            </w:tcBorders>
            <w:vAlign w:val="center"/>
          </w:tcPr>
          <w:p w14:paraId="79C37E33">
            <w:pPr>
              <w:spacing w:line="360" w:lineRule="auto"/>
              <w:rPr>
                <w:rFonts w:ascii="宋体" w:hAnsi="宋体"/>
                <w:szCs w:val="21"/>
              </w:rPr>
            </w:pPr>
          </w:p>
        </w:tc>
        <w:tc>
          <w:tcPr>
            <w:tcW w:w="1586" w:type="dxa"/>
            <w:tcBorders>
              <w:top w:val="single" w:color="auto" w:sz="4" w:space="0"/>
              <w:left w:val="nil"/>
              <w:bottom w:val="single" w:color="auto" w:sz="4" w:space="0"/>
              <w:right w:val="single" w:color="auto" w:sz="4" w:space="0"/>
            </w:tcBorders>
            <w:vAlign w:val="center"/>
          </w:tcPr>
          <w:p w14:paraId="4594FE34">
            <w:pPr>
              <w:spacing w:line="360" w:lineRule="auto"/>
              <w:rPr>
                <w:rFonts w:ascii="宋体" w:hAnsi="宋体"/>
                <w:szCs w:val="21"/>
              </w:rPr>
            </w:pPr>
          </w:p>
        </w:tc>
      </w:tr>
      <w:tr w14:paraId="7A3F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tcBorders>
              <w:top w:val="single" w:color="auto" w:sz="4" w:space="0"/>
              <w:left w:val="single" w:color="auto" w:sz="4" w:space="0"/>
              <w:bottom w:val="single" w:color="auto" w:sz="4" w:space="0"/>
              <w:right w:val="single" w:color="auto" w:sz="4" w:space="0"/>
            </w:tcBorders>
          </w:tcPr>
          <w:p w14:paraId="18B942B4">
            <w:pPr>
              <w:spacing w:line="360" w:lineRule="auto"/>
              <w:rPr>
                <w:rFonts w:ascii="宋体" w:hAnsi="宋体"/>
                <w:szCs w:val="21"/>
              </w:rPr>
            </w:pPr>
          </w:p>
        </w:tc>
        <w:tc>
          <w:tcPr>
            <w:tcW w:w="1107" w:type="dxa"/>
            <w:tcBorders>
              <w:top w:val="single" w:color="auto" w:sz="4" w:space="0"/>
              <w:left w:val="nil"/>
              <w:bottom w:val="single" w:color="auto" w:sz="4" w:space="0"/>
              <w:right w:val="single" w:color="auto" w:sz="4" w:space="0"/>
            </w:tcBorders>
            <w:vAlign w:val="center"/>
          </w:tcPr>
          <w:p w14:paraId="132206C3">
            <w:pPr>
              <w:spacing w:line="360" w:lineRule="auto"/>
              <w:rPr>
                <w:rFonts w:ascii="宋体" w:hAnsi="宋体"/>
                <w:szCs w:val="21"/>
              </w:rPr>
            </w:pPr>
          </w:p>
        </w:tc>
        <w:tc>
          <w:tcPr>
            <w:tcW w:w="1892" w:type="dxa"/>
            <w:tcBorders>
              <w:top w:val="single" w:color="auto" w:sz="4" w:space="0"/>
              <w:left w:val="nil"/>
              <w:bottom w:val="single" w:color="auto" w:sz="4" w:space="0"/>
              <w:right w:val="single" w:color="auto" w:sz="4" w:space="0"/>
            </w:tcBorders>
            <w:vAlign w:val="center"/>
          </w:tcPr>
          <w:p w14:paraId="485B9E6E">
            <w:pPr>
              <w:spacing w:line="360" w:lineRule="auto"/>
              <w:rPr>
                <w:rFonts w:ascii="宋体" w:hAnsi="宋体"/>
                <w:szCs w:val="21"/>
              </w:rPr>
            </w:pPr>
          </w:p>
        </w:tc>
        <w:tc>
          <w:tcPr>
            <w:tcW w:w="1500" w:type="dxa"/>
            <w:tcBorders>
              <w:top w:val="single" w:color="auto" w:sz="4" w:space="0"/>
              <w:left w:val="nil"/>
              <w:bottom w:val="single" w:color="auto" w:sz="4" w:space="0"/>
              <w:right w:val="single" w:color="auto" w:sz="4" w:space="0"/>
            </w:tcBorders>
            <w:vAlign w:val="center"/>
          </w:tcPr>
          <w:p w14:paraId="7E50D9FA">
            <w:pPr>
              <w:spacing w:line="360" w:lineRule="auto"/>
              <w:rPr>
                <w:rFonts w:ascii="宋体" w:hAnsi="宋体"/>
                <w:szCs w:val="21"/>
              </w:rPr>
            </w:pPr>
          </w:p>
        </w:tc>
        <w:tc>
          <w:tcPr>
            <w:tcW w:w="1320" w:type="dxa"/>
            <w:tcBorders>
              <w:top w:val="single" w:color="auto" w:sz="4" w:space="0"/>
              <w:left w:val="nil"/>
              <w:bottom w:val="single" w:color="auto" w:sz="4" w:space="0"/>
              <w:right w:val="single" w:color="auto" w:sz="4" w:space="0"/>
            </w:tcBorders>
            <w:vAlign w:val="center"/>
          </w:tcPr>
          <w:p w14:paraId="3DF7CB09">
            <w:pPr>
              <w:spacing w:line="360" w:lineRule="auto"/>
              <w:rPr>
                <w:rFonts w:ascii="宋体" w:hAnsi="宋体"/>
                <w:szCs w:val="21"/>
              </w:rPr>
            </w:pPr>
          </w:p>
        </w:tc>
        <w:tc>
          <w:tcPr>
            <w:tcW w:w="2550" w:type="dxa"/>
            <w:tcBorders>
              <w:top w:val="single" w:color="auto" w:sz="4" w:space="0"/>
              <w:left w:val="nil"/>
              <w:bottom w:val="single" w:color="auto" w:sz="4" w:space="0"/>
              <w:right w:val="single" w:color="auto" w:sz="4" w:space="0"/>
            </w:tcBorders>
            <w:vAlign w:val="center"/>
          </w:tcPr>
          <w:p w14:paraId="640F4026">
            <w:pPr>
              <w:spacing w:line="360" w:lineRule="auto"/>
              <w:rPr>
                <w:rFonts w:ascii="宋体" w:hAnsi="宋体"/>
                <w:szCs w:val="21"/>
              </w:rPr>
            </w:pPr>
          </w:p>
        </w:tc>
        <w:tc>
          <w:tcPr>
            <w:tcW w:w="1586" w:type="dxa"/>
            <w:tcBorders>
              <w:top w:val="single" w:color="auto" w:sz="4" w:space="0"/>
              <w:left w:val="nil"/>
              <w:bottom w:val="single" w:color="auto" w:sz="4" w:space="0"/>
              <w:right w:val="single" w:color="auto" w:sz="4" w:space="0"/>
            </w:tcBorders>
            <w:vAlign w:val="center"/>
          </w:tcPr>
          <w:p w14:paraId="7B1FD67F">
            <w:pPr>
              <w:spacing w:line="360" w:lineRule="auto"/>
              <w:rPr>
                <w:rFonts w:ascii="宋体" w:hAnsi="宋体"/>
                <w:szCs w:val="21"/>
              </w:rPr>
            </w:pPr>
          </w:p>
        </w:tc>
      </w:tr>
      <w:tr w14:paraId="4AFFF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tcBorders>
              <w:top w:val="single" w:color="auto" w:sz="4" w:space="0"/>
              <w:left w:val="single" w:color="auto" w:sz="4" w:space="0"/>
              <w:bottom w:val="single" w:color="auto" w:sz="4" w:space="0"/>
              <w:right w:val="single" w:color="auto" w:sz="4" w:space="0"/>
            </w:tcBorders>
          </w:tcPr>
          <w:p w14:paraId="64196708">
            <w:pPr>
              <w:spacing w:line="360" w:lineRule="auto"/>
              <w:rPr>
                <w:rFonts w:ascii="宋体" w:hAnsi="宋体"/>
                <w:szCs w:val="21"/>
              </w:rPr>
            </w:pPr>
          </w:p>
        </w:tc>
        <w:tc>
          <w:tcPr>
            <w:tcW w:w="1107" w:type="dxa"/>
            <w:tcBorders>
              <w:top w:val="single" w:color="auto" w:sz="4" w:space="0"/>
              <w:left w:val="nil"/>
              <w:bottom w:val="single" w:color="auto" w:sz="4" w:space="0"/>
              <w:right w:val="single" w:color="auto" w:sz="4" w:space="0"/>
            </w:tcBorders>
            <w:vAlign w:val="center"/>
          </w:tcPr>
          <w:p w14:paraId="28CC82D6">
            <w:pPr>
              <w:spacing w:line="360" w:lineRule="auto"/>
              <w:rPr>
                <w:rFonts w:ascii="宋体" w:hAnsi="宋体"/>
                <w:szCs w:val="21"/>
              </w:rPr>
            </w:pPr>
          </w:p>
        </w:tc>
        <w:tc>
          <w:tcPr>
            <w:tcW w:w="1892" w:type="dxa"/>
            <w:tcBorders>
              <w:top w:val="single" w:color="auto" w:sz="4" w:space="0"/>
              <w:left w:val="nil"/>
              <w:bottom w:val="single" w:color="auto" w:sz="4" w:space="0"/>
              <w:right w:val="single" w:color="auto" w:sz="4" w:space="0"/>
            </w:tcBorders>
            <w:vAlign w:val="center"/>
          </w:tcPr>
          <w:p w14:paraId="1B9B899F">
            <w:pPr>
              <w:spacing w:line="360" w:lineRule="auto"/>
              <w:rPr>
                <w:rFonts w:ascii="宋体" w:hAnsi="宋体"/>
                <w:szCs w:val="21"/>
              </w:rPr>
            </w:pPr>
          </w:p>
        </w:tc>
        <w:tc>
          <w:tcPr>
            <w:tcW w:w="1500" w:type="dxa"/>
            <w:tcBorders>
              <w:top w:val="single" w:color="auto" w:sz="4" w:space="0"/>
              <w:left w:val="nil"/>
              <w:bottom w:val="single" w:color="auto" w:sz="4" w:space="0"/>
              <w:right w:val="single" w:color="auto" w:sz="4" w:space="0"/>
            </w:tcBorders>
            <w:vAlign w:val="center"/>
          </w:tcPr>
          <w:p w14:paraId="11C3D8B9">
            <w:pPr>
              <w:spacing w:line="360" w:lineRule="auto"/>
              <w:rPr>
                <w:rFonts w:ascii="宋体" w:hAnsi="宋体"/>
                <w:szCs w:val="21"/>
              </w:rPr>
            </w:pPr>
          </w:p>
        </w:tc>
        <w:tc>
          <w:tcPr>
            <w:tcW w:w="1320" w:type="dxa"/>
            <w:tcBorders>
              <w:top w:val="single" w:color="auto" w:sz="4" w:space="0"/>
              <w:left w:val="nil"/>
              <w:bottom w:val="single" w:color="auto" w:sz="4" w:space="0"/>
              <w:right w:val="single" w:color="auto" w:sz="4" w:space="0"/>
            </w:tcBorders>
            <w:vAlign w:val="center"/>
          </w:tcPr>
          <w:p w14:paraId="45AE047B">
            <w:pPr>
              <w:spacing w:line="360" w:lineRule="auto"/>
              <w:rPr>
                <w:rFonts w:ascii="宋体" w:hAnsi="宋体"/>
                <w:szCs w:val="21"/>
              </w:rPr>
            </w:pPr>
          </w:p>
        </w:tc>
        <w:tc>
          <w:tcPr>
            <w:tcW w:w="2550" w:type="dxa"/>
            <w:tcBorders>
              <w:top w:val="single" w:color="auto" w:sz="4" w:space="0"/>
              <w:left w:val="nil"/>
              <w:bottom w:val="single" w:color="auto" w:sz="4" w:space="0"/>
              <w:right w:val="single" w:color="auto" w:sz="4" w:space="0"/>
            </w:tcBorders>
            <w:vAlign w:val="center"/>
          </w:tcPr>
          <w:p w14:paraId="3F5C27C0">
            <w:pPr>
              <w:spacing w:line="360" w:lineRule="auto"/>
              <w:rPr>
                <w:rFonts w:ascii="宋体" w:hAnsi="宋体"/>
                <w:szCs w:val="21"/>
              </w:rPr>
            </w:pPr>
          </w:p>
        </w:tc>
        <w:tc>
          <w:tcPr>
            <w:tcW w:w="1586" w:type="dxa"/>
            <w:tcBorders>
              <w:top w:val="single" w:color="auto" w:sz="4" w:space="0"/>
              <w:left w:val="nil"/>
              <w:bottom w:val="single" w:color="auto" w:sz="4" w:space="0"/>
              <w:right w:val="single" w:color="auto" w:sz="4" w:space="0"/>
            </w:tcBorders>
            <w:vAlign w:val="center"/>
          </w:tcPr>
          <w:p w14:paraId="73891B6D">
            <w:pPr>
              <w:spacing w:line="360" w:lineRule="auto"/>
              <w:rPr>
                <w:rFonts w:ascii="宋体" w:hAnsi="宋体"/>
                <w:szCs w:val="21"/>
              </w:rPr>
            </w:pPr>
          </w:p>
        </w:tc>
      </w:tr>
      <w:tr w14:paraId="28DC0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tcBorders>
              <w:top w:val="single" w:color="auto" w:sz="4" w:space="0"/>
              <w:left w:val="single" w:color="auto" w:sz="4" w:space="0"/>
              <w:bottom w:val="single" w:color="auto" w:sz="4" w:space="0"/>
              <w:right w:val="single" w:color="auto" w:sz="4" w:space="0"/>
            </w:tcBorders>
          </w:tcPr>
          <w:p w14:paraId="3EE84262">
            <w:pPr>
              <w:spacing w:line="360" w:lineRule="auto"/>
              <w:rPr>
                <w:rFonts w:ascii="宋体" w:hAnsi="宋体"/>
                <w:szCs w:val="21"/>
              </w:rPr>
            </w:pPr>
          </w:p>
        </w:tc>
        <w:tc>
          <w:tcPr>
            <w:tcW w:w="1107" w:type="dxa"/>
            <w:tcBorders>
              <w:top w:val="single" w:color="auto" w:sz="4" w:space="0"/>
              <w:left w:val="nil"/>
              <w:bottom w:val="single" w:color="auto" w:sz="4" w:space="0"/>
              <w:right w:val="single" w:color="auto" w:sz="4" w:space="0"/>
            </w:tcBorders>
            <w:vAlign w:val="center"/>
          </w:tcPr>
          <w:p w14:paraId="0382609C">
            <w:pPr>
              <w:spacing w:line="360" w:lineRule="auto"/>
              <w:rPr>
                <w:rFonts w:ascii="宋体" w:hAnsi="宋体"/>
                <w:szCs w:val="21"/>
              </w:rPr>
            </w:pPr>
          </w:p>
        </w:tc>
        <w:tc>
          <w:tcPr>
            <w:tcW w:w="1892" w:type="dxa"/>
            <w:tcBorders>
              <w:top w:val="single" w:color="auto" w:sz="4" w:space="0"/>
              <w:left w:val="nil"/>
              <w:bottom w:val="single" w:color="auto" w:sz="4" w:space="0"/>
              <w:right w:val="single" w:color="auto" w:sz="4" w:space="0"/>
            </w:tcBorders>
            <w:vAlign w:val="center"/>
          </w:tcPr>
          <w:p w14:paraId="13BB378D">
            <w:pPr>
              <w:spacing w:line="360" w:lineRule="auto"/>
              <w:rPr>
                <w:rFonts w:ascii="宋体" w:hAnsi="宋体"/>
                <w:szCs w:val="21"/>
              </w:rPr>
            </w:pPr>
          </w:p>
        </w:tc>
        <w:tc>
          <w:tcPr>
            <w:tcW w:w="1500" w:type="dxa"/>
            <w:tcBorders>
              <w:top w:val="single" w:color="auto" w:sz="4" w:space="0"/>
              <w:left w:val="nil"/>
              <w:bottom w:val="single" w:color="auto" w:sz="4" w:space="0"/>
              <w:right w:val="single" w:color="auto" w:sz="4" w:space="0"/>
            </w:tcBorders>
            <w:vAlign w:val="center"/>
          </w:tcPr>
          <w:p w14:paraId="6C3575B0">
            <w:pPr>
              <w:spacing w:line="360" w:lineRule="auto"/>
              <w:rPr>
                <w:rFonts w:ascii="宋体" w:hAnsi="宋体"/>
                <w:szCs w:val="21"/>
              </w:rPr>
            </w:pPr>
          </w:p>
        </w:tc>
        <w:tc>
          <w:tcPr>
            <w:tcW w:w="1320" w:type="dxa"/>
            <w:tcBorders>
              <w:top w:val="single" w:color="auto" w:sz="4" w:space="0"/>
              <w:left w:val="nil"/>
              <w:bottom w:val="single" w:color="auto" w:sz="4" w:space="0"/>
              <w:right w:val="single" w:color="auto" w:sz="4" w:space="0"/>
            </w:tcBorders>
            <w:vAlign w:val="center"/>
          </w:tcPr>
          <w:p w14:paraId="79335BD4">
            <w:pPr>
              <w:spacing w:line="360" w:lineRule="auto"/>
              <w:rPr>
                <w:rFonts w:ascii="宋体" w:hAnsi="宋体"/>
                <w:szCs w:val="21"/>
              </w:rPr>
            </w:pPr>
          </w:p>
        </w:tc>
        <w:tc>
          <w:tcPr>
            <w:tcW w:w="2550" w:type="dxa"/>
            <w:tcBorders>
              <w:top w:val="single" w:color="auto" w:sz="4" w:space="0"/>
              <w:left w:val="nil"/>
              <w:bottom w:val="single" w:color="auto" w:sz="4" w:space="0"/>
              <w:right w:val="single" w:color="auto" w:sz="4" w:space="0"/>
            </w:tcBorders>
            <w:vAlign w:val="center"/>
          </w:tcPr>
          <w:p w14:paraId="6E054C8F">
            <w:pPr>
              <w:spacing w:line="360" w:lineRule="auto"/>
              <w:rPr>
                <w:rFonts w:ascii="宋体" w:hAnsi="宋体"/>
                <w:szCs w:val="21"/>
              </w:rPr>
            </w:pPr>
          </w:p>
        </w:tc>
        <w:tc>
          <w:tcPr>
            <w:tcW w:w="1586" w:type="dxa"/>
            <w:tcBorders>
              <w:top w:val="single" w:color="auto" w:sz="4" w:space="0"/>
              <w:left w:val="nil"/>
              <w:bottom w:val="single" w:color="auto" w:sz="4" w:space="0"/>
              <w:right w:val="single" w:color="auto" w:sz="4" w:space="0"/>
            </w:tcBorders>
            <w:vAlign w:val="center"/>
          </w:tcPr>
          <w:p w14:paraId="48CB7A7C">
            <w:pPr>
              <w:spacing w:line="360" w:lineRule="auto"/>
              <w:rPr>
                <w:rFonts w:ascii="宋体" w:hAnsi="宋体"/>
                <w:szCs w:val="21"/>
              </w:rPr>
            </w:pPr>
          </w:p>
        </w:tc>
      </w:tr>
    </w:tbl>
    <w:p w14:paraId="0BBF9674">
      <w:pPr>
        <w:spacing w:line="300" w:lineRule="exact"/>
        <w:jc w:val="left"/>
        <w:rPr>
          <w:rFonts w:ascii="宋体" w:hAnsi="宋体"/>
          <w:b/>
          <w:szCs w:val="21"/>
        </w:rPr>
      </w:pPr>
      <w:r>
        <w:rPr>
          <w:rFonts w:hint="eastAsia" w:ascii="宋体" w:hAnsi="宋体"/>
          <w:b/>
          <w:szCs w:val="21"/>
        </w:rPr>
        <w:t>注：以上人员的材料都需提供复印件盖章附后</w:t>
      </w:r>
    </w:p>
    <w:p w14:paraId="63646ED9">
      <w:pPr>
        <w:spacing w:line="300" w:lineRule="exact"/>
        <w:rPr>
          <w:rFonts w:ascii="宋体" w:hAnsi="宋体"/>
          <w:b/>
          <w:szCs w:val="21"/>
        </w:rPr>
      </w:pPr>
      <w:r>
        <w:rPr>
          <w:rFonts w:hint="eastAsia" w:ascii="宋体" w:hAnsi="宋体"/>
          <w:b/>
          <w:szCs w:val="21"/>
        </w:rPr>
        <w:t xml:space="preserve"> </w:t>
      </w:r>
    </w:p>
    <w:p w14:paraId="6BCB2B53">
      <w:pPr>
        <w:spacing w:line="300" w:lineRule="exact"/>
        <w:rPr>
          <w:rFonts w:ascii="宋体" w:hAnsi="宋体"/>
          <w:b/>
          <w:szCs w:val="21"/>
        </w:rPr>
      </w:pPr>
      <w:r>
        <w:rPr>
          <w:rFonts w:hint="eastAsia" w:ascii="宋体" w:hAnsi="宋体"/>
          <w:b/>
          <w:szCs w:val="21"/>
        </w:rPr>
        <w:t xml:space="preserve"> </w:t>
      </w:r>
    </w:p>
    <w:p w14:paraId="4FDF1331">
      <w:pPr>
        <w:spacing w:line="300" w:lineRule="exact"/>
        <w:rPr>
          <w:rFonts w:ascii="宋体" w:hAnsi="宋体"/>
          <w:b/>
          <w:szCs w:val="21"/>
        </w:rPr>
      </w:pPr>
      <w:r>
        <w:rPr>
          <w:rFonts w:hint="eastAsia" w:ascii="宋体" w:hAnsi="宋体"/>
          <w:b/>
          <w:szCs w:val="21"/>
        </w:rPr>
        <w:t xml:space="preserve"> </w:t>
      </w:r>
    </w:p>
    <w:p w14:paraId="1B458EE5">
      <w:pPr>
        <w:spacing w:line="300" w:lineRule="exact"/>
        <w:rPr>
          <w:rFonts w:ascii="宋体" w:hAnsi="宋体"/>
          <w:b/>
          <w:szCs w:val="21"/>
        </w:rPr>
      </w:pPr>
      <w:r>
        <w:rPr>
          <w:rFonts w:hint="eastAsia" w:ascii="宋体" w:hAnsi="宋体"/>
          <w:b/>
          <w:szCs w:val="21"/>
        </w:rPr>
        <w:t xml:space="preserve"> </w:t>
      </w:r>
    </w:p>
    <w:p w14:paraId="7947338F">
      <w:pPr>
        <w:spacing w:line="300" w:lineRule="exact"/>
        <w:jc w:val="center"/>
        <w:rPr>
          <w:rFonts w:ascii="宋体" w:hAnsi="宋体"/>
          <w:b/>
          <w:szCs w:val="21"/>
        </w:rPr>
      </w:pPr>
      <w:r>
        <w:rPr>
          <w:rFonts w:hint="eastAsia" w:ascii="宋体" w:hAnsi="宋体"/>
          <w:b/>
          <w:szCs w:val="21"/>
        </w:rPr>
        <w:t xml:space="preserve"> </w:t>
      </w:r>
    </w:p>
    <w:p w14:paraId="2D491E24">
      <w:pPr>
        <w:spacing w:line="300" w:lineRule="exact"/>
        <w:jc w:val="center"/>
        <w:rPr>
          <w:rFonts w:ascii="宋体" w:hAnsi="宋体"/>
          <w:b/>
          <w:szCs w:val="21"/>
        </w:rPr>
      </w:pPr>
      <w:r>
        <w:rPr>
          <w:rFonts w:hint="eastAsia" w:ascii="宋体" w:hAnsi="宋体"/>
          <w:b/>
          <w:szCs w:val="21"/>
        </w:rPr>
        <w:t>相关方设备设施备案清单</w:t>
      </w:r>
    </w:p>
    <w:p w14:paraId="79689670">
      <w:pPr>
        <w:spacing w:line="300" w:lineRule="exact"/>
        <w:jc w:val="center"/>
        <w:rPr>
          <w:rFonts w:ascii="宋体" w:hAnsi="宋体"/>
          <w:b/>
          <w:szCs w:val="21"/>
        </w:rPr>
      </w:pPr>
      <w:r>
        <w:rPr>
          <w:rFonts w:hint="eastAsia" w:ascii="宋体" w:hAnsi="宋体"/>
          <w:b/>
          <w:szCs w:val="21"/>
        </w:rPr>
        <w:t xml:space="preserve"> </w:t>
      </w:r>
    </w:p>
    <w:p w14:paraId="58AEAA6C">
      <w:pPr>
        <w:spacing w:line="300" w:lineRule="exact"/>
        <w:rPr>
          <w:rFonts w:ascii="宋体" w:hAnsi="宋体"/>
          <w:b/>
          <w:szCs w:val="21"/>
        </w:rPr>
      </w:pPr>
      <w:r>
        <w:rPr>
          <w:rFonts w:hint="eastAsia" w:ascii="宋体" w:hAnsi="宋体"/>
          <w:b/>
          <w:szCs w:val="21"/>
        </w:rPr>
        <w:t>相关方单位名称（盖章）：                                    进港时间：</w:t>
      </w:r>
    </w:p>
    <w:tbl>
      <w:tblPr>
        <w:tblStyle w:val="28"/>
        <w:tblW w:w="105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5"/>
        <w:gridCol w:w="1665"/>
        <w:gridCol w:w="1800"/>
        <w:gridCol w:w="1620"/>
        <w:gridCol w:w="1800"/>
        <w:gridCol w:w="1687"/>
        <w:gridCol w:w="1193"/>
      </w:tblGrid>
      <w:tr w14:paraId="7C056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tcPr>
          <w:p w14:paraId="51AB4E2B">
            <w:pPr>
              <w:spacing w:line="360" w:lineRule="auto"/>
              <w:jc w:val="center"/>
              <w:rPr>
                <w:rFonts w:ascii="宋体" w:hAnsi="宋体"/>
                <w:szCs w:val="21"/>
              </w:rPr>
            </w:pPr>
            <w:r>
              <w:rPr>
                <w:rFonts w:hint="eastAsia" w:ascii="宋体" w:hAnsi="宋体"/>
                <w:szCs w:val="21"/>
              </w:rPr>
              <w:t>序号</w:t>
            </w:r>
          </w:p>
        </w:tc>
        <w:tc>
          <w:tcPr>
            <w:tcW w:w="1665" w:type="dxa"/>
            <w:tcBorders>
              <w:top w:val="single" w:color="auto" w:sz="4" w:space="0"/>
              <w:left w:val="nil"/>
              <w:bottom w:val="single" w:color="auto" w:sz="4" w:space="0"/>
              <w:right w:val="single" w:color="auto" w:sz="4" w:space="0"/>
            </w:tcBorders>
            <w:vAlign w:val="center"/>
          </w:tcPr>
          <w:p w14:paraId="3AF6FB4A">
            <w:pPr>
              <w:spacing w:line="360" w:lineRule="auto"/>
              <w:jc w:val="center"/>
              <w:rPr>
                <w:rFonts w:ascii="宋体" w:hAnsi="宋体"/>
                <w:szCs w:val="21"/>
              </w:rPr>
            </w:pPr>
            <w:r>
              <w:rPr>
                <w:rFonts w:hint="eastAsia" w:ascii="宋体" w:hAnsi="宋体"/>
                <w:szCs w:val="21"/>
              </w:rPr>
              <w:t>设备设施名称</w:t>
            </w:r>
          </w:p>
        </w:tc>
        <w:tc>
          <w:tcPr>
            <w:tcW w:w="1800" w:type="dxa"/>
            <w:tcBorders>
              <w:top w:val="single" w:color="auto" w:sz="4" w:space="0"/>
              <w:left w:val="nil"/>
              <w:bottom w:val="single" w:color="auto" w:sz="4" w:space="0"/>
              <w:right w:val="single" w:color="auto" w:sz="4" w:space="0"/>
            </w:tcBorders>
            <w:vAlign w:val="center"/>
          </w:tcPr>
          <w:p w14:paraId="252918DF">
            <w:pPr>
              <w:spacing w:line="360" w:lineRule="auto"/>
              <w:jc w:val="center"/>
              <w:rPr>
                <w:rFonts w:ascii="宋体" w:hAnsi="宋体"/>
                <w:szCs w:val="21"/>
              </w:rPr>
            </w:pPr>
            <w:r>
              <w:rPr>
                <w:rFonts w:hint="eastAsia" w:ascii="宋体" w:hAnsi="宋体"/>
                <w:szCs w:val="21"/>
              </w:rPr>
              <w:t>设备设施型号</w:t>
            </w:r>
          </w:p>
        </w:tc>
        <w:tc>
          <w:tcPr>
            <w:tcW w:w="1620" w:type="dxa"/>
            <w:tcBorders>
              <w:top w:val="single" w:color="auto" w:sz="4" w:space="0"/>
              <w:left w:val="nil"/>
              <w:bottom w:val="single" w:color="auto" w:sz="4" w:space="0"/>
              <w:right w:val="single" w:color="auto" w:sz="4" w:space="0"/>
            </w:tcBorders>
            <w:vAlign w:val="center"/>
          </w:tcPr>
          <w:p w14:paraId="2E2F153F">
            <w:pPr>
              <w:spacing w:line="360" w:lineRule="auto"/>
              <w:jc w:val="center"/>
              <w:rPr>
                <w:rFonts w:ascii="宋体" w:hAnsi="宋体"/>
                <w:szCs w:val="21"/>
              </w:rPr>
            </w:pPr>
            <w:r>
              <w:rPr>
                <w:rFonts w:hint="eastAsia" w:ascii="宋体" w:hAnsi="宋体"/>
                <w:szCs w:val="21"/>
              </w:rPr>
              <w:t>识别码</w:t>
            </w:r>
          </w:p>
        </w:tc>
        <w:tc>
          <w:tcPr>
            <w:tcW w:w="1800" w:type="dxa"/>
            <w:tcBorders>
              <w:top w:val="single" w:color="auto" w:sz="4" w:space="0"/>
              <w:left w:val="nil"/>
              <w:bottom w:val="single" w:color="auto" w:sz="4" w:space="0"/>
              <w:right w:val="single" w:color="auto" w:sz="4" w:space="0"/>
            </w:tcBorders>
            <w:vAlign w:val="center"/>
          </w:tcPr>
          <w:p w14:paraId="12C95EB5">
            <w:pPr>
              <w:spacing w:line="360" w:lineRule="auto"/>
              <w:jc w:val="center"/>
              <w:rPr>
                <w:rFonts w:ascii="宋体" w:hAnsi="宋体"/>
                <w:szCs w:val="21"/>
              </w:rPr>
            </w:pPr>
            <w:r>
              <w:rPr>
                <w:rFonts w:hint="eastAsia" w:ascii="宋体" w:hAnsi="宋体"/>
                <w:szCs w:val="21"/>
              </w:rPr>
              <w:t>检测编号</w:t>
            </w:r>
          </w:p>
        </w:tc>
        <w:tc>
          <w:tcPr>
            <w:tcW w:w="1687" w:type="dxa"/>
            <w:tcBorders>
              <w:top w:val="single" w:color="auto" w:sz="4" w:space="0"/>
              <w:left w:val="nil"/>
              <w:bottom w:val="single" w:color="auto" w:sz="4" w:space="0"/>
              <w:right w:val="single" w:color="auto" w:sz="4" w:space="0"/>
            </w:tcBorders>
            <w:vAlign w:val="center"/>
          </w:tcPr>
          <w:p w14:paraId="4969F069">
            <w:pPr>
              <w:spacing w:line="360" w:lineRule="auto"/>
              <w:jc w:val="center"/>
              <w:rPr>
                <w:rFonts w:ascii="宋体" w:hAnsi="宋体"/>
                <w:szCs w:val="21"/>
              </w:rPr>
            </w:pPr>
            <w:r>
              <w:rPr>
                <w:rFonts w:hint="eastAsia" w:ascii="宋体" w:hAnsi="宋体"/>
                <w:szCs w:val="21"/>
              </w:rPr>
              <w:t>检测有效期</w:t>
            </w:r>
          </w:p>
        </w:tc>
        <w:tc>
          <w:tcPr>
            <w:tcW w:w="1193" w:type="dxa"/>
            <w:tcBorders>
              <w:top w:val="single" w:color="auto" w:sz="4" w:space="0"/>
              <w:left w:val="nil"/>
              <w:bottom w:val="single" w:color="auto" w:sz="4" w:space="0"/>
              <w:right w:val="single" w:color="auto" w:sz="4" w:space="0"/>
            </w:tcBorders>
            <w:vAlign w:val="center"/>
          </w:tcPr>
          <w:p w14:paraId="2EA32B66">
            <w:pPr>
              <w:spacing w:line="360" w:lineRule="auto"/>
              <w:jc w:val="center"/>
              <w:rPr>
                <w:rFonts w:ascii="宋体" w:hAnsi="宋体"/>
                <w:szCs w:val="21"/>
              </w:rPr>
            </w:pPr>
            <w:r>
              <w:rPr>
                <w:rFonts w:hint="eastAsia" w:ascii="宋体" w:hAnsi="宋体"/>
                <w:szCs w:val="21"/>
              </w:rPr>
              <w:t>备注</w:t>
            </w:r>
          </w:p>
        </w:tc>
      </w:tr>
      <w:tr w14:paraId="55390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tcPr>
          <w:p w14:paraId="3B13DF21">
            <w:pPr>
              <w:spacing w:line="360" w:lineRule="auto"/>
              <w:jc w:val="center"/>
              <w:rPr>
                <w:rFonts w:ascii="宋体" w:hAnsi="宋体"/>
                <w:szCs w:val="21"/>
              </w:rPr>
            </w:pPr>
          </w:p>
        </w:tc>
        <w:tc>
          <w:tcPr>
            <w:tcW w:w="1665" w:type="dxa"/>
            <w:tcBorders>
              <w:top w:val="single" w:color="auto" w:sz="4" w:space="0"/>
              <w:left w:val="nil"/>
              <w:bottom w:val="single" w:color="auto" w:sz="4" w:space="0"/>
              <w:right w:val="single" w:color="auto" w:sz="4" w:space="0"/>
            </w:tcBorders>
            <w:vAlign w:val="center"/>
          </w:tcPr>
          <w:p w14:paraId="0A9142EE">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03943E3B">
            <w:pPr>
              <w:spacing w:line="360" w:lineRule="auto"/>
              <w:jc w:val="center"/>
              <w:rPr>
                <w:rFonts w:ascii="宋体" w:hAnsi="宋体"/>
                <w:szCs w:val="21"/>
              </w:rPr>
            </w:pPr>
          </w:p>
        </w:tc>
        <w:tc>
          <w:tcPr>
            <w:tcW w:w="1620" w:type="dxa"/>
            <w:tcBorders>
              <w:top w:val="single" w:color="auto" w:sz="4" w:space="0"/>
              <w:left w:val="nil"/>
              <w:bottom w:val="single" w:color="auto" w:sz="4" w:space="0"/>
              <w:right w:val="single" w:color="auto" w:sz="4" w:space="0"/>
            </w:tcBorders>
            <w:vAlign w:val="center"/>
          </w:tcPr>
          <w:p w14:paraId="35E4667C">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24AAF65F">
            <w:pPr>
              <w:spacing w:line="360" w:lineRule="auto"/>
              <w:jc w:val="center"/>
              <w:rPr>
                <w:rFonts w:ascii="宋体" w:hAnsi="宋体"/>
                <w:szCs w:val="21"/>
              </w:rPr>
            </w:pPr>
          </w:p>
        </w:tc>
        <w:tc>
          <w:tcPr>
            <w:tcW w:w="1687" w:type="dxa"/>
            <w:tcBorders>
              <w:top w:val="single" w:color="auto" w:sz="4" w:space="0"/>
              <w:left w:val="nil"/>
              <w:bottom w:val="single" w:color="auto" w:sz="4" w:space="0"/>
              <w:right w:val="single" w:color="auto" w:sz="4" w:space="0"/>
            </w:tcBorders>
            <w:vAlign w:val="center"/>
          </w:tcPr>
          <w:p w14:paraId="39FFE0E6">
            <w:pPr>
              <w:spacing w:line="360" w:lineRule="auto"/>
              <w:jc w:val="center"/>
              <w:rPr>
                <w:rFonts w:ascii="宋体" w:hAnsi="宋体"/>
                <w:szCs w:val="21"/>
              </w:rPr>
            </w:pPr>
          </w:p>
        </w:tc>
        <w:tc>
          <w:tcPr>
            <w:tcW w:w="1193" w:type="dxa"/>
            <w:tcBorders>
              <w:top w:val="single" w:color="auto" w:sz="4" w:space="0"/>
              <w:left w:val="nil"/>
              <w:bottom w:val="single" w:color="auto" w:sz="4" w:space="0"/>
              <w:right w:val="single" w:color="auto" w:sz="4" w:space="0"/>
            </w:tcBorders>
            <w:vAlign w:val="center"/>
          </w:tcPr>
          <w:p w14:paraId="790BE1EC">
            <w:pPr>
              <w:spacing w:line="360" w:lineRule="auto"/>
              <w:jc w:val="center"/>
              <w:rPr>
                <w:rFonts w:ascii="宋体" w:hAnsi="宋体"/>
                <w:szCs w:val="21"/>
              </w:rPr>
            </w:pPr>
          </w:p>
        </w:tc>
      </w:tr>
      <w:tr w14:paraId="14A21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tcPr>
          <w:p w14:paraId="1FDBB7B6">
            <w:pPr>
              <w:spacing w:line="360" w:lineRule="auto"/>
              <w:jc w:val="center"/>
              <w:rPr>
                <w:rFonts w:ascii="宋体" w:hAnsi="宋体"/>
                <w:szCs w:val="21"/>
              </w:rPr>
            </w:pPr>
          </w:p>
        </w:tc>
        <w:tc>
          <w:tcPr>
            <w:tcW w:w="1665" w:type="dxa"/>
            <w:tcBorders>
              <w:top w:val="single" w:color="auto" w:sz="4" w:space="0"/>
              <w:left w:val="nil"/>
              <w:bottom w:val="single" w:color="auto" w:sz="4" w:space="0"/>
              <w:right w:val="single" w:color="auto" w:sz="4" w:space="0"/>
            </w:tcBorders>
            <w:vAlign w:val="center"/>
          </w:tcPr>
          <w:p w14:paraId="44C8E046">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1E0FC530">
            <w:pPr>
              <w:spacing w:line="360" w:lineRule="auto"/>
              <w:jc w:val="center"/>
              <w:rPr>
                <w:rFonts w:ascii="宋体" w:hAnsi="宋体"/>
                <w:szCs w:val="21"/>
              </w:rPr>
            </w:pPr>
          </w:p>
        </w:tc>
        <w:tc>
          <w:tcPr>
            <w:tcW w:w="1620" w:type="dxa"/>
            <w:tcBorders>
              <w:top w:val="single" w:color="auto" w:sz="4" w:space="0"/>
              <w:left w:val="nil"/>
              <w:bottom w:val="single" w:color="auto" w:sz="4" w:space="0"/>
              <w:right w:val="single" w:color="auto" w:sz="4" w:space="0"/>
            </w:tcBorders>
            <w:vAlign w:val="center"/>
          </w:tcPr>
          <w:p w14:paraId="6C3F31A5">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4020709D">
            <w:pPr>
              <w:spacing w:line="360" w:lineRule="auto"/>
              <w:jc w:val="center"/>
              <w:rPr>
                <w:rFonts w:ascii="宋体" w:hAnsi="宋体"/>
                <w:szCs w:val="21"/>
              </w:rPr>
            </w:pPr>
          </w:p>
        </w:tc>
        <w:tc>
          <w:tcPr>
            <w:tcW w:w="1687" w:type="dxa"/>
            <w:tcBorders>
              <w:top w:val="single" w:color="auto" w:sz="4" w:space="0"/>
              <w:left w:val="nil"/>
              <w:bottom w:val="single" w:color="auto" w:sz="4" w:space="0"/>
              <w:right w:val="single" w:color="auto" w:sz="4" w:space="0"/>
            </w:tcBorders>
            <w:vAlign w:val="center"/>
          </w:tcPr>
          <w:p w14:paraId="5FF3AE2A">
            <w:pPr>
              <w:spacing w:line="360" w:lineRule="auto"/>
              <w:jc w:val="center"/>
              <w:rPr>
                <w:rFonts w:ascii="宋体" w:hAnsi="宋体"/>
                <w:szCs w:val="21"/>
              </w:rPr>
            </w:pPr>
          </w:p>
        </w:tc>
        <w:tc>
          <w:tcPr>
            <w:tcW w:w="1193" w:type="dxa"/>
            <w:tcBorders>
              <w:top w:val="single" w:color="auto" w:sz="4" w:space="0"/>
              <w:left w:val="nil"/>
              <w:bottom w:val="single" w:color="auto" w:sz="4" w:space="0"/>
              <w:right w:val="single" w:color="auto" w:sz="4" w:space="0"/>
            </w:tcBorders>
            <w:vAlign w:val="center"/>
          </w:tcPr>
          <w:p w14:paraId="5DCF5BEA">
            <w:pPr>
              <w:spacing w:line="360" w:lineRule="auto"/>
              <w:jc w:val="center"/>
              <w:rPr>
                <w:rFonts w:ascii="宋体" w:hAnsi="宋体"/>
                <w:szCs w:val="21"/>
              </w:rPr>
            </w:pPr>
          </w:p>
        </w:tc>
      </w:tr>
      <w:tr w14:paraId="74E14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tcPr>
          <w:p w14:paraId="4B9F6765">
            <w:pPr>
              <w:spacing w:line="360" w:lineRule="auto"/>
              <w:jc w:val="center"/>
              <w:rPr>
                <w:rFonts w:ascii="宋体" w:hAnsi="宋体"/>
                <w:szCs w:val="21"/>
              </w:rPr>
            </w:pPr>
          </w:p>
        </w:tc>
        <w:tc>
          <w:tcPr>
            <w:tcW w:w="1665" w:type="dxa"/>
            <w:tcBorders>
              <w:top w:val="single" w:color="auto" w:sz="4" w:space="0"/>
              <w:left w:val="nil"/>
              <w:bottom w:val="single" w:color="auto" w:sz="4" w:space="0"/>
              <w:right w:val="single" w:color="auto" w:sz="4" w:space="0"/>
            </w:tcBorders>
            <w:vAlign w:val="center"/>
          </w:tcPr>
          <w:p w14:paraId="4D8958A8">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497CF4A7">
            <w:pPr>
              <w:spacing w:line="360" w:lineRule="auto"/>
              <w:jc w:val="center"/>
              <w:rPr>
                <w:rFonts w:ascii="宋体" w:hAnsi="宋体"/>
                <w:szCs w:val="21"/>
              </w:rPr>
            </w:pPr>
          </w:p>
        </w:tc>
        <w:tc>
          <w:tcPr>
            <w:tcW w:w="1620" w:type="dxa"/>
            <w:tcBorders>
              <w:top w:val="single" w:color="auto" w:sz="4" w:space="0"/>
              <w:left w:val="nil"/>
              <w:bottom w:val="single" w:color="auto" w:sz="4" w:space="0"/>
              <w:right w:val="single" w:color="auto" w:sz="4" w:space="0"/>
            </w:tcBorders>
            <w:vAlign w:val="center"/>
          </w:tcPr>
          <w:p w14:paraId="14E8DF02">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78A01349">
            <w:pPr>
              <w:spacing w:line="360" w:lineRule="auto"/>
              <w:jc w:val="center"/>
              <w:rPr>
                <w:rFonts w:ascii="宋体" w:hAnsi="宋体"/>
                <w:szCs w:val="21"/>
              </w:rPr>
            </w:pPr>
          </w:p>
        </w:tc>
        <w:tc>
          <w:tcPr>
            <w:tcW w:w="1687" w:type="dxa"/>
            <w:tcBorders>
              <w:top w:val="single" w:color="auto" w:sz="4" w:space="0"/>
              <w:left w:val="nil"/>
              <w:bottom w:val="single" w:color="auto" w:sz="4" w:space="0"/>
              <w:right w:val="single" w:color="auto" w:sz="4" w:space="0"/>
            </w:tcBorders>
            <w:vAlign w:val="center"/>
          </w:tcPr>
          <w:p w14:paraId="5021ACB1">
            <w:pPr>
              <w:spacing w:line="360" w:lineRule="auto"/>
              <w:jc w:val="center"/>
              <w:rPr>
                <w:rFonts w:ascii="宋体" w:hAnsi="宋体"/>
                <w:szCs w:val="21"/>
              </w:rPr>
            </w:pPr>
          </w:p>
        </w:tc>
        <w:tc>
          <w:tcPr>
            <w:tcW w:w="1193" w:type="dxa"/>
            <w:tcBorders>
              <w:top w:val="single" w:color="auto" w:sz="4" w:space="0"/>
              <w:left w:val="nil"/>
              <w:bottom w:val="single" w:color="auto" w:sz="4" w:space="0"/>
              <w:right w:val="single" w:color="auto" w:sz="4" w:space="0"/>
            </w:tcBorders>
            <w:vAlign w:val="center"/>
          </w:tcPr>
          <w:p w14:paraId="57F26899">
            <w:pPr>
              <w:spacing w:line="360" w:lineRule="auto"/>
              <w:jc w:val="center"/>
              <w:rPr>
                <w:rFonts w:ascii="宋体" w:hAnsi="宋体"/>
                <w:szCs w:val="21"/>
              </w:rPr>
            </w:pPr>
          </w:p>
        </w:tc>
      </w:tr>
      <w:tr w14:paraId="552EA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tcPr>
          <w:p w14:paraId="3C592798">
            <w:pPr>
              <w:spacing w:line="360" w:lineRule="auto"/>
              <w:jc w:val="center"/>
              <w:rPr>
                <w:rFonts w:ascii="宋体" w:hAnsi="宋体"/>
                <w:szCs w:val="21"/>
              </w:rPr>
            </w:pPr>
          </w:p>
        </w:tc>
        <w:tc>
          <w:tcPr>
            <w:tcW w:w="1665" w:type="dxa"/>
            <w:tcBorders>
              <w:top w:val="single" w:color="auto" w:sz="4" w:space="0"/>
              <w:left w:val="nil"/>
              <w:bottom w:val="single" w:color="auto" w:sz="4" w:space="0"/>
              <w:right w:val="single" w:color="auto" w:sz="4" w:space="0"/>
            </w:tcBorders>
            <w:vAlign w:val="center"/>
          </w:tcPr>
          <w:p w14:paraId="45132DB7">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30C8FDE2">
            <w:pPr>
              <w:spacing w:line="360" w:lineRule="auto"/>
              <w:jc w:val="center"/>
              <w:rPr>
                <w:rFonts w:ascii="宋体" w:hAnsi="宋体"/>
                <w:szCs w:val="21"/>
              </w:rPr>
            </w:pPr>
          </w:p>
        </w:tc>
        <w:tc>
          <w:tcPr>
            <w:tcW w:w="1620" w:type="dxa"/>
            <w:tcBorders>
              <w:top w:val="single" w:color="auto" w:sz="4" w:space="0"/>
              <w:left w:val="nil"/>
              <w:bottom w:val="single" w:color="auto" w:sz="4" w:space="0"/>
              <w:right w:val="single" w:color="auto" w:sz="4" w:space="0"/>
            </w:tcBorders>
            <w:vAlign w:val="center"/>
          </w:tcPr>
          <w:p w14:paraId="3D895F77">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30D4C982">
            <w:pPr>
              <w:spacing w:line="360" w:lineRule="auto"/>
              <w:jc w:val="center"/>
              <w:rPr>
                <w:rFonts w:ascii="宋体" w:hAnsi="宋体"/>
                <w:szCs w:val="21"/>
              </w:rPr>
            </w:pPr>
          </w:p>
        </w:tc>
        <w:tc>
          <w:tcPr>
            <w:tcW w:w="1687" w:type="dxa"/>
            <w:tcBorders>
              <w:top w:val="single" w:color="auto" w:sz="4" w:space="0"/>
              <w:left w:val="nil"/>
              <w:bottom w:val="single" w:color="auto" w:sz="4" w:space="0"/>
              <w:right w:val="single" w:color="auto" w:sz="4" w:space="0"/>
            </w:tcBorders>
            <w:vAlign w:val="center"/>
          </w:tcPr>
          <w:p w14:paraId="61B5593E">
            <w:pPr>
              <w:spacing w:line="360" w:lineRule="auto"/>
              <w:jc w:val="center"/>
              <w:rPr>
                <w:rFonts w:ascii="宋体" w:hAnsi="宋体"/>
                <w:szCs w:val="21"/>
              </w:rPr>
            </w:pPr>
          </w:p>
        </w:tc>
        <w:tc>
          <w:tcPr>
            <w:tcW w:w="1193" w:type="dxa"/>
            <w:tcBorders>
              <w:top w:val="single" w:color="auto" w:sz="4" w:space="0"/>
              <w:left w:val="nil"/>
              <w:bottom w:val="single" w:color="auto" w:sz="4" w:space="0"/>
              <w:right w:val="single" w:color="auto" w:sz="4" w:space="0"/>
            </w:tcBorders>
            <w:vAlign w:val="center"/>
          </w:tcPr>
          <w:p w14:paraId="6D5DEE2E">
            <w:pPr>
              <w:spacing w:line="360" w:lineRule="auto"/>
              <w:jc w:val="center"/>
              <w:rPr>
                <w:rFonts w:ascii="宋体" w:hAnsi="宋体"/>
                <w:szCs w:val="21"/>
              </w:rPr>
            </w:pPr>
          </w:p>
        </w:tc>
      </w:tr>
      <w:tr w14:paraId="3BECF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tcPr>
          <w:p w14:paraId="3BBF66B0">
            <w:pPr>
              <w:spacing w:line="360" w:lineRule="auto"/>
              <w:jc w:val="center"/>
              <w:rPr>
                <w:rFonts w:ascii="宋体" w:hAnsi="宋体"/>
                <w:szCs w:val="21"/>
              </w:rPr>
            </w:pPr>
          </w:p>
        </w:tc>
        <w:tc>
          <w:tcPr>
            <w:tcW w:w="1665" w:type="dxa"/>
            <w:tcBorders>
              <w:top w:val="single" w:color="auto" w:sz="4" w:space="0"/>
              <w:left w:val="nil"/>
              <w:bottom w:val="single" w:color="auto" w:sz="4" w:space="0"/>
              <w:right w:val="single" w:color="auto" w:sz="4" w:space="0"/>
            </w:tcBorders>
            <w:vAlign w:val="center"/>
          </w:tcPr>
          <w:p w14:paraId="2787A557">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41F84DB3">
            <w:pPr>
              <w:spacing w:line="360" w:lineRule="auto"/>
              <w:jc w:val="center"/>
              <w:rPr>
                <w:rFonts w:ascii="宋体" w:hAnsi="宋体"/>
                <w:szCs w:val="21"/>
              </w:rPr>
            </w:pPr>
          </w:p>
        </w:tc>
        <w:tc>
          <w:tcPr>
            <w:tcW w:w="1620" w:type="dxa"/>
            <w:tcBorders>
              <w:top w:val="single" w:color="auto" w:sz="4" w:space="0"/>
              <w:left w:val="nil"/>
              <w:bottom w:val="single" w:color="auto" w:sz="4" w:space="0"/>
              <w:right w:val="single" w:color="auto" w:sz="4" w:space="0"/>
            </w:tcBorders>
            <w:vAlign w:val="center"/>
          </w:tcPr>
          <w:p w14:paraId="34437A9B">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351F14F7">
            <w:pPr>
              <w:spacing w:line="360" w:lineRule="auto"/>
              <w:jc w:val="center"/>
              <w:rPr>
                <w:rFonts w:ascii="宋体" w:hAnsi="宋体"/>
                <w:szCs w:val="21"/>
              </w:rPr>
            </w:pPr>
          </w:p>
        </w:tc>
        <w:tc>
          <w:tcPr>
            <w:tcW w:w="1687" w:type="dxa"/>
            <w:tcBorders>
              <w:top w:val="single" w:color="auto" w:sz="4" w:space="0"/>
              <w:left w:val="nil"/>
              <w:bottom w:val="single" w:color="auto" w:sz="4" w:space="0"/>
              <w:right w:val="single" w:color="auto" w:sz="4" w:space="0"/>
            </w:tcBorders>
            <w:vAlign w:val="center"/>
          </w:tcPr>
          <w:p w14:paraId="7FF05398">
            <w:pPr>
              <w:spacing w:line="360" w:lineRule="auto"/>
              <w:jc w:val="center"/>
              <w:rPr>
                <w:rFonts w:ascii="宋体" w:hAnsi="宋体"/>
                <w:szCs w:val="21"/>
              </w:rPr>
            </w:pPr>
          </w:p>
        </w:tc>
        <w:tc>
          <w:tcPr>
            <w:tcW w:w="1193" w:type="dxa"/>
            <w:tcBorders>
              <w:top w:val="single" w:color="auto" w:sz="4" w:space="0"/>
              <w:left w:val="nil"/>
              <w:bottom w:val="single" w:color="auto" w:sz="4" w:space="0"/>
              <w:right w:val="single" w:color="auto" w:sz="4" w:space="0"/>
            </w:tcBorders>
            <w:vAlign w:val="center"/>
          </w:tcPr>
          <w:p w14:paraId="0F15C2BC">
            <w:pPr>
              <w:spacing w:line="360" w:lineRule="auto"/>
              <w:jc w:val="center"/>
              <w:rPr>
                <w:rFonts w:ascii="宋体" w:hAnsi="宋体"/>
                <w:szCs w:val="21"/>
              </w:rPr>
            </w:pPr>
          </w:p>
        </w:tc>
      </w:tr>
      <w:tr w14:paraId="3EF38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tcPr>
          <w:p w14:paraId="3686DA03">
            <w:pPr>
              <w:spacing w:line="360" w:lineRule="auto"/>
              <w:jc w:val="center"/>
              <w:rPr>
                <w:rFonts w:ascii="宋体" w:hAnsi="宋体"/>
                <w:szCs w:val="21"/>
              </w:rPr>
            </w:pPr>
          </w:p>
        </w:tc>
        <w:tc>
          <w:tcPr>
            <w:tcW w:w="1665" w:type="dxa"/>
            <w:tcBorders>
              <w:top w:val="single" w:color="auto" w:sz="4" w:space="0"/>
              <w:left w:val="nil"/>
              <w:bottom w:val="single" w:color="auto" w:sz="4" w:space="0"/>
              <w:right w:val="single" w:color="auto" w:sz="4" w:space="0"/>
            </w:tcBorders>
            <w:vAlign w:val="center"/>
          </w:tcPr>
          <w:p w14:paraId="26B6B8AE">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12FAA33B">
            <w:pPr>
              <w:spacing w:line="360" w:lineRule="auto"/>
              <w:jc w:val="center"/>
              <w:rPr>
                <w:rFonts w:ascii="宋体" w:hAnsi="宋体"/>
                <w:szCs w:val="21"/>
              </w:rPr>
            </w:pPr>
          </w:p>
        </w:tc>
        <w:tc>
          <w:tcPr>
            <w:tcW w:w="1620" w:type="dxa"/>
            <w:tcBorders>
              <w:top w:val="single" w:color="auto" w:sz="4" w:space="0"/>
              <w:left w:val="nil"/>
              <w:bottom w:val="single" w:color="auto" w:sz="4" w:space="0"/>
              <w:right w:val="single" w:color="auto" w:sz="4" w:space="0"/>
            </w:tcBorders>
            <w:vAlign w:val="center"/>
          </w:tcPr>
          <w:p w14:paraId="12AFDE10">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3E70DF93">
            <w:pPr>
              <w:spacing w:line="360" w:lineRule="auto"/>
              <w:jc w:val="center"/>
              <w:rPr>
                <w:rFonts w:ascii="宋体" w:hAnsi="宋体"/>
                <w:szCs w:val="21"/>
              </w:rPr>
            </w:pPr>
          </w:p>
        </w:tc>
        <w:tc>
          <w:tcPr>
            <w:tcW w:w="1687" w:type="dxa"/>
            <w:tcBorders>
              <w:top w:val="single" w:color="auto" w:sz="4" w:space="0"/>
              <w:left w:val="nil"/>
              <w:bottom w:val="single" w:color="auto" w:sz="4" w:space="0"/>
              <w:right w:val="single" w:color="auto" w:sz="4" w:space="0"/>
            </w:tcBorders>
            <w:vAlign w:val="center"/>
          </w:tcPr>
          <w:p w14:paraId="1C22B6DB">
            <w:pPr>
              <w:spacing w:line="360" w:lineRule="auto"/>
              <w:jc w:val="center"/>
              <w:rPr>
                <w:rFonts w:ascii="宋体" w:hAnsi="宋体"/>
                <w:szCs w:val="21"/>
              </w:rPr>
            </w:pPr>
          </w:p>
        </w:tc>
        <w:tc>
          <w:tcPr>
            <w:tcW w:w="1193" w:type="dxa"/>
            <w:tcBorders>
              <w:top w:val="single" w:color="auto" w:sz="4" w:space="0"/>
              <w:left w:val="nil"/>
              <w:bottom w:val="single" w:color="auto" w:sz="4" w:space="0"/>
              <w:right w:val="single" w:color="auto" w:sz="4" w:space="0"/>
            </w:tcBorders>
            <w:vAlign w:val="center"/>
          </w:tcPr>
          <w:p w14:paraId="03F534B5">
            <w:pPr>
              <w:spacing w:line="360" w:lineRule="auto"/>
              <w:jc w:val="center"/>
              <w:rPr>
                <w:rFonts w:ascii="宋体" w:hAnsi="宋体"/>
                <w:szCs w:val="21"/>
              </w:rPr>
            </w:pPr>
          </w:p>
        </w:tc>
      </w:tr>
      <w:tr w14:paraId="53BCC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tcPr>
          <w:p w14:paraId="0EB1527C">
            <w:pPr>
              <w:spacing w:line="360" w:lineRule="auto"/>
              <w:jc w:val="center"/>
              <w:rPr>
                <w:rFonts w:ascii="宋体" w:hAnsi="宋体"/>
                <w:szCs w:val="21"/>
              </w:rPr>
            </w:pPr>
          </w:p>
        </w:tc>
        <w:tc>
          <w:tcPr>
            <w:tcW w:w="1665" w:type="dxa"/>
            <w:tcBorders>
              <w:top w:val="single" w:color="auto" w:sz="4" w:space="0"/>
              <w:left w:val="nil"/>
              <w:bottom w:val="single" w:color="auto" w:sz="4" w:space="0"/>
              <w:right w:val="single" w:color="auto" w:sz="4" w:space="0"/>
            </w:tcBorders>
            <w:vAlign w:val="center"/>
          </w:tcPr>
          <w:p w14:paraId="7D8EF6C8">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157839A0">
            <w:pPr>
              <w:spacing w:line="360" w:lineRule="auto"/>
              <w:jc w:val="center"/>
              <w:rPr>
                <w:rFonts w:ascii="宋体" w:hAnsi="宋体"/>
                <w:szCs w:val="21"/>
              </w:rPr>
            </w:pPr>
          </w:p>
        </w:tc>
        <w:tc>
          <w:tcPr>
            <w:tcW w:w="1620" w:type="dxa"/>
            <w:tcBorders>
              <w:top w:val="single" w:color="auto" w:sz="4" w:space="0"/>
              <w:left w:val="nil"/>
              <w:bottom w:val="single" w:color="auto" w:sz="4" w:space="0"/>
              <w:right w:val="single" w:color="auto" w:sz="4" w:space="0"/>
            </w:tcBorders>
            <w:vAlign w:val="center"/>
          </w:tcPr>
          <w:p w14:paraId="7A4C2D9B">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2AFA0869">
            <w:pPr>
              <w:spacing w:line="360" w:lineRule="auto"/>
              <w:jc w:val="center"/>
              <w:rPr>
                <w:rFonts w:ascii="宋体" w:hAnsi="宋体"/>
                <w:szCs w:val="21"/>
              </w:rPr>
            </w:pPr>
          </w:p>
        </w:tc>
        <w:tc>
          <w:tcPr>
            <w:tcW w:w="1687" w:type="dxa"/>
            <w:tcBorders>
              <w:top w:val="single" w:color="auto" w:sz="4" w:space="0"/>
              <w:left w:val="nil"/>
              <w:bottom w:val="single" w:color="auto" w:sz="4" w:space="0"/>
              <w:right w:val="single" w:color="auto" w:sz="4" w:space="0"/>
            </w:tcBorders>
            <w:vAlign w:val="center"/>
          </w:tcPr>
          <w:p w14:paraId="7254BB25">
            <w:pPr>
              <w:spacing w:line="360" w:lineRule="auto"/>
              <w:jc w:val="center"/>
              <w:rPr>
                <w:rFonts w:ascii="宋体" w:hAnsi="宋体"/>
                <w:szCs w:val="21"/>
              </w:rPr>
            </w:pPr>
          </w:p>
        </w:tc>
        <w:tc>
          <w:tcPr>
            <w:tcW w:w="1193" w:type="dxa"/>
            <w:tcBorders>
              <w:top w:val="single" w:color="auto" w:sz="4" w:space="0"/>
              <w:left w:val="nil"/>
              <w:bottom w:val="single" w:color="auto" w:sz="4" w:space="0"/>
              <w:right w:val="single" w:color="auto" w:sz="4" w:space="0"/>
            </w:tcBorders>
            <w:vAlign w:val="center"/>
          </w:tcPr>
          <w:p w14:paraId="70F93673">
            <w:pPr>
              <w:spacing w:line="360" w:lineRule="auto"/>
              <w:jc w:val="center"/>
              <w:rPr>
                <w:rFonts w:ascii="宋体" w:hAnsi="宋体"/>
                <w:szCs w:val="21"/>
              </w:rPr>
            </w:pPr>
          </w:p>
        </w:tc>
      </w:tr>
      <w:tr w14:paraId="4CBEA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tcPr>
          <w:p w14:paraId="145D1042">
            <w:pPr>
              <w:spacing w:line="360" w:lineRule="auto"/>
              <w:jc w:val="center"/>
              <w:rPr>
                <w:rFonts w:ascii="宋体" w:hAnsi="宋体"/>
                <w:szCs w:val="21"/>
              </w:rPr>
            </w:pPr>
          </w:p>
        </w:tc>
        <w:tc>
          <w:tcPr>
            <w:tcW w:w="1665" w:type="dxa"/>
            <w:tcBorders>
              <w:top w:val="single" w:color="auto" w:sz="4" w:space="0"/>
              <w:left w:val="nil"/>
              <w:bottom w:val="single" w:color="auto" w:sz="4" w:space="0"/>
              <w:right w:val="single" w:color="auto" w:sz="4" w:space="0"/>
            </w:tcBorders>
            <w:vAlign w:val="center"/>
          </w:tcPr>
          <w:p w14:paraId="4BF4F485">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2DEA9F02">
            <w:pPr>
              <w:spacing w:line="360" w:lineRule="auto"/>
              <w:jc w:val="center"/>
              <w:rPr>
                <w:rFonts w:ascii="宋体" w:hAnsi="宋体"/>
                <w:szCs w:val="21"/>
              </w:rPr>
            </w:pPr>
          </w:p>
        </w:tc>
        <w:tc>
          <w:tcPr>
            <w:tcW w:w="1620" w:type="dxa"/>
            <w:tcBorders>
              <w:top w:val="single" w:color="auto" w:sz="4" w:space="0"/>
              <w:left w:val="nil"/>
              <w:bottom w:val="single" w:color="auto" w:sz="4" w:space="0"/>
              <w:right w:val="single" w:color="auto" w:sz="4" w:space="0"/>
            </w:tcBorders>
            <w:vAlign w:val="center"/>
          </w:tcPr>
          <w:p w14:paraId="2E5261D0">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5A7A995F">
            <w:pPr>
              <w:spacing w:line="360" w:lineRule="auto"/>
              <w:jc w:val="center"/>
              <w:rPr>
                <w:rFonts w:ascii="宋体" w:hAnsi="宋体"/>
                <w:szCs w:val="21"/>
              </w:rPr>
            </w:pPr>
          </w:p>
        </w:tc>
        <w:tc>
          <w:tcPr>
            <w:tcW w:w="1687" w:type="dxa"/>
            <w:tcBorders>
              <w:top w:val="single" w:color="auto" w:sz="4" w:space="0"/>
              <w:left w:val="nil"/>
              <w:bottom w:val="single" w:color="auto" w:sz="4" w:space="0"/>
              <w:right w:val="single" w:color="auto" w:sz="4" w:space="0"/>
            </w:tcBorders>
            <w:vAlign w:val="center"/>
          </w:tcPr>
          <w:p w14:paraId="4FC7A34C">
            <w:pPr>
              <w:spacing w:line="360" w:lineRule="auto"/>
              <w:jc w:val="center"/>
              <w:rPr>
                <w:rFonts w:ascii="宋体" w:hAnsi="宋体"/>
                <w:szCs w:val="21"/>
              </w:rPr>
            </w:pPr>
          </w:p>
        </w:tc>
        <w:tc>
          <w:tcPr>
            <w:tcW w:w="1193" w:type="dxa"/>
            <w:tcBorders>
              <w:top w:val="single" w:color="auto" w:sz="4" w:space="0"/>
              <w:left w:val="nil"/>
              <w:bottom w:val="single" w:color="auto" w:sz="4" w:space="0"/>
              <w:right w:val="single" w:color="auto" w:sz="4" w:space="0"/>
            </w:tcBorders>
            <w:vAlign w:val="center"/>
          </w:tcPr>
          <w:p w14:paraId="02D565D5">
            <w:pPr>
              <w:spacing w:line="360" w:lineRule="auto"/>
              <w:jc w:val="center"/>
              <w:rPr>
                <w:rFonts w:ascii="宋体" w:hAnsi="宋体"/>
                <w:szCs w:val="21"/>
              </w:rPr>
            </w:pPr>
          </w:p>
        </w:tc>
      </w:tr>
      <w:tr w14:paraId="32256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tcPr>
          <w:p w14:paraId="4502D06D">
            <w:pPr>
              <w:spacing w:line="360" w:lineRule="auto"/>
              <w:jc w:val="center"/>
              <w:rPr>
                <w:rFonts w:ascii="宋体" w:hAnsi="宋体"/>
                <w:szCs w:val="21"/>
              </w:rPr>
            </w:pPr>
          </w:p>
        </w:tc>
        <w:tc>
          <w:tcPr>
            <w:tcW w:w="1665" w:type="dxa"/>
            <w:tcBorders>
              <w:top w:val="single" w:color="auto" w:sz="4" w:space="0"/>
              <w:left w:val="nil"/>
              <w:bottom w:val="single" w:color="auto" w:sz="4" w:space="0"/>
              <w:right w:val="single" w:color="auto" w:sz="4" w:space="0"/>
            </w:tcBorders>
            <w:vAlign w:val="center"/>
          </w:tcPr>
          <w:p w14:paraId="2CC3B267">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59CA4B9C">
            <w:pPr>
              <w:spacing w:line="360" w:lineRule="auto"/>
              <w:jc w:val="center"/>
              <w:rPr>
                <w:rFonts w:ascii="宋体" w:hAnsi="宋体"/>
                <w:szCs w:val="21"/>
              </w:rPr>
            </w:pPr>
          </w:p>
        </w:tc>
        <w:tc>
          <w:tcPr>
            <w:tcW w:w="1620" w:type="dxa"/>
            <w:tcBorders>
              <w:top w:val="single" w:color="auto" w:sz="4" w:space="0"/>
              <w:left w:val="nil"/>
              <w:bottom w:val="single" w:color="auto" w:sz="4" w:space="0"/>
              <w:right w:val="single" w:color="auto" w:sz="4" w:space="0"/>
            </w:tcBorders>
            <w:vAlign w:val="center"/>
          </w:tcPr>
          <w:p w14:paraId="67E68FCC">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3BDA7594">
            <w:pPr>
              <w:spacing w:line="360" w:lineRule="auto"/>
              <w:jc w:val="center"/>
              <w:rPr>
                <w:rFonts w:ascii="宋体" w:hAnsi="宋体"/>
                <w:szCs w:val="21"/>
              </w:rPr>
            </w:pPr>
          </w:p>
        </w:tc>
        <w:tc>
          <w:tcPr>
            <w:tcW w:w="1687" w:type="dxa"/>
            <w:tcBorders>
              <w:top w:val="single" w:color="auto" w:sz="4" w:space="0"/>
              <w:left w:val="nil"/>
              <w:bottom w:val="single" w:color="auto" w:sz="4" w:space="0"/>
              <w:right w:val="single" w:color="auto" w:sz="4" w:space="0"/>
            </w:tcBorders>
            <w:vAlign w:val="center"/>
          </w:tcPr>
          <w:p w14:paraId="257ACCA6">
            <w:pPr>
              <w:spacing w:line="360" w:lineRule="auto"/>
              <w:jc w:val="center"/>
              <w:rPr>
                <w:rFonts w:ascii="宋体" w:hAnsi="宋体"/>
                <w:szCs w:val="21"/>
              </w:rPr>
            </w:pPr>
          </w:p>
        </w:tc>
        <w:tc>
          <w:tcPr>
            <w:tcW w:w="1193" w:type="dxa"/>
            <w:tcBorders>
              <w:top w:val="single" w:color="auto" w:sz="4" w:space="0"/>
              <w:left w:val="nil"/>
              <w:bottom w:val="single" w:color="auto" w:sz="4" w:space="0"/>
              <w:right w:val="single" w:color="auto" w:sz="4" w:space="0"/>
            </w:tcBorders>
            <w:vAlign w:val="center"/>
          </w:tcPr>
          <w:p w14:paraId="5BA9B92D">
            <w:pPr>
              <w:spacing w:line="360" w:lineRule="auto"/>
              <w:jc w:val="center"/>
              <w:rPr>
                <w:rFonts w:ascii="宋体" w:hAnsi="宋体"/>
                <w:szCs w:val="21"/>
              </w:rPr>
            </w:pPr>
          </w:p>
        </w:tc>
      </w:tr>
      <w:tr w14:paraId="52B56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tcPr>
          <w:p w14:paraId="767B5099">
            <w:pPr>
              <w:spacing w:line="360" w:lineRule="auto"/>
              <w:jc w:val="center"/>
              <w:rPr>
                <w:rFonts w:ascii="宋体" w:hAnsi="宋体"/>
                <w:szCs w:val="21"/>
              </w:rPr>
            </w:pPr>
          </w:p>
        </w:tc>
        <w:tc>
          <w:tcPr>
            <w:tcW w:w="1665" w:type="dxa"/>
            <w:tcBorders>
              <w:top w:val="single" w:color="auto" w:sz="4" w:space="0"/>
              <w:left w:val="nil"/>
              <w:bottom w:val="single" w:color="auto" w:sz="4" w:space="0"/>
              <w:right w:val="single" w:color="auto" w:sz="4" w:space="0"/>
            </w:tcBorders>
            <w:vAlign w:val="center"/>
          </w:tcPr>
          <w:p w14:paraId="4F1C4680">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7095EBFA">
            <w:pPr>
              <w:spacing w:line="360" w:lineRule="auto"/>
              <w:jc w:val="center"/>
              <w:rPr>
                <w:rFonts w:ascii="宋体" w:hAnsi="宋体"/>
                <w:szCs w:val="21"/>
              </w:rPr>
            </w:pPr>
          </w:p>
        </w:tc>
        <w:tc>
          <w:tcPr>
            <w:tcW w:w="1620" w:type="dxa"/>
            <w:tcBorders>
              <w:top w:val="single" w:color="auto" w:sz="4" w:space="0"/>
              <w:left w:val="nil"/>
              <w:bottom w:val="single" w:color="auto" w:sz="4" w:space="0"/>
              <w:right w:val="single" w:color="auto" w:sz="4" w:space="0"/>
            </w:tcBorders>
            <w:vAlign w:val="center"/>
          </w:tcPr>
          <w:p w14:paraId="126C88BB">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6F1A07D6">
            <w:pPr>
              <w:spacing w:line="360" w:lineRule="auto"/>
              <w:jc w:val="center"/>
              <w:rPr>
                <w:rFonts w:ascii="宋体" w:hAnsi="宋体"/>
                <w:szCs w:val="21"/>
              </w:rPr>
            </w:pPr>
          </w:p>
        </w:tc>
        <w:tc>
          <w:tcPr>
            <w:tcW w:w="1687" w:type="dxa"/>
            <w:tcBorders>
              <w:top w:val="single" w:color="auto" w:sz="4" w:space="0"/>
              <w:left w:val="nil"/>
              <w:bottom w:val="single" w:color="auto" w:sz="4" w:space="0"/>
              <w:right w:val="single" w:color="auto" w:sz="4" w:space="0"/>
            </w:tcBorders>
            <w:vAlign w:val="center"/>
          </w:tcPr>
          <w:p w14:paraId="3D78F019">
            <w:pPr>
              <w:spacing w:line="360" w:lineRule="auto"/>
              <w:jc w:val="center"/>
              <w:rPr>
                <w:rFonts w:ascii="宋体" w:hAnsi="宋体"/>
                <w:szCs w:val="21"/>
              </w:rPr>
            </w:pPr>
          </w:p>
        </w:tc>
        <w:tc>
          <w:tcPr>
            <w:tcW w:w="1193" w:type="dxa"/>
            <w:tcBorders>
              <w:top w:val="single" w:color="auto" w:sz="4" w:space="0"/>
              <w:left w:val="nil"/>
              <w:bottom w:val="single" w:color="auto" w:sz="4" w:space="0"/>
              <w:right w:val="single" w:color="auto" w:sz="4" w:space="0"/>
            </w:tcBorders>
            <w:vAlign w:val="center"/>
          </w:tcPr>
          <w:p w14:paraId="4C4FE82D">
            <w:pPr>
              <w:spacing w:line="360" w:lineRule="auto"/>
              <w:jc w:val="center"/>
              <w:rPr>
                <w:rFonts w:ascii="宋体" w:hAnsi="宋体"/>
                <w:szCs w:val="21"/>
              </w:rPr>
            </w:pPr>
          </w:p>
        </w:tc>
      </w:tr>
      <w:tr w14:paraId="28779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tcPr>
          <w:p w14:paraId="647651CD">
            <w:pPr>
              <w:spacing w:line="360" w:lineRule="auto"/>
              <w:jc w:val="center"/>
              <w:rPr>
                <w:rFonts w:ascii="宋体" w:hAnsi="宋体"/>
                <w:szCs w:val="21"/>
              </w:rPr>
            </w:pPr>
          </w:p>
        </w:tc>
        <w:tc>
          <w:tcPr>
            <w:tcW w:w="1665" w:type="dxa"/>
            <w:tcBorders>
              <w:top w:val="single" w:color="auto" w:sz="4" w:space="0"/>
              <w:left w:val="nil"/>
              <w:bottom w:val="single" w:color="auto" w:sz="4" w:space="0"/>
              <w:right w:val="single" w:color="auto" w:sz="4" w:space="0"/>
            </w:tcBorders>
            <w:vAlign w:val="center"/>
          </w:tcPr>
          <w:p w14:paraId="641D0C77">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5DEDD745">
            <w:pPr>
              <w:spacing w:line="360" w:lineRule="auto"/>
              <w:jc w:val="center"/>
              <w:rPr>
                <w:rFonts w:ascii="宋体" w:hAnsi="宋体"/>
                <w:szCs w:val="21"/>
              </w:rPr>
            </w:pPr>
          </w:p>
        </w:tc>
        <w:tc>
          <w:tcPr>
            <w:tcW w:w="1620" w:type="dxa"/>
            <w:tcBorders>
              <w:top w:val="single" w:color="auto" w:sz="4" w:space="0"/>
              <w:left w:val="nil"/>
              <w:bottom w:val="single" w:color="auto" w:sz="4" w:space="0"/>
              <w:right w:val="single" w:color="auto" w:sz="4" w:space="0"/>
            </w:tcBorders>
            <w:vAlign w:val="center"/>
          </w:tcPr>
          <w:p w14:paraId="3936F12C">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372CAC3B">
            <w:pPr>
              <w:spacing w:line="360" w:lineRule="auto"/>
              <w:jc w:val="center"/>
              <w:rPr>
                <w:rFonts w:ascii="宋体" w:hAnsi="宋体"/>
                <w:szCs w:val="21"/>
              </w:rPr>
            </w:pPr>
          </w:p>
        </w:tc>
        <w:tc>
          <w:tcPr>
            <w:tcW w:w="1687" w:type="dxa"/>
            <w:tcBorders>
              <w:top w:val="single" w:color="auto" w:sz="4" w:space="0"/>
              <w:left w:val="nil"/>
              <w:bottom w:val="single" w:color="auto" w:sz="4" w:space="0"/>
              <w:right w:val="single" w:color="auto" w:sz="4" w:space="0"/>
            </w:tcBorders>
            <w:vAlign w:val="center"/>
          </w:tcPr>
          <w:p w14:paraId="2DB27FCA">
            <w:pPr>
              <w:spacing w:line="360" w:lineRule="auto"/>
              <w:jc w:val="center"/>
              <w:rPr>
                <w:rFonts w:ascii="宋体" w:hAnsi="宋体"/>
                <w:szCs w:val="21"/>
              </w:rPr>
            </w:pPr>
          </w:p>
        </w:tc>
        <w:tc>
          <w:tcPr>
            <w:tcW w:w="1193" w:type="dxa"/>
            <w:tcBorders>
              <w:top w:val="single" w:color="auto" w:sz="4" w:space="0"/>
              <w:left w:val="nil"/>
              <w:bottom w:val="single" w:color="auto" w:sz="4" w:space="0"/>
              <w:right w:val="single" w:color="auto" w:sz="4" w:space="0"/>
            </w:tcBorders>
            <w:vAlign w:val="center"/>
          </w:tcPr>
          <w:p w14:paraId="4E35E708">
            <w:pPr>
              <w:spacing w:line="360" w:lineRule="auto"/>
              <w:jc w:val="center"/>
              <w:rPr>
                <w:rFonts w:ascii="宋体" w:hAnsi="宋体"/>
                <w:szCs w:val="21"/>
              </w:rPr>
            </w:pPr>
          </w:p>
        </w:tc>
      </w:tr>
      <w:tr w14:paraId="7DD0A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tcPr>
          <w:p w14:paraId="77FB6A9F">
            <w:pPr>
              <w:spacing w:line="360" w:lineRule="auto"/>
              <w:jc w:val="center"/>
              <w:rPr>
                <w:rFonts w:ascii="宋体" w:hAnsi="宋体"/>
                <w:szCs w:val="21"/>
              </w:rPr>
            </w:pPr>
          </w:p>
        </w:tc>
        <w:tc>
          <w:tcPr>
            <w:tcW w:w="1665" w:type="dxa"/>
            <w:tcBorders>
              <w:top w:val="single" w:color="auto" w:sz="4" w:space="0"/>
              <w:left w:val="nil"/>
              <w:bottom w:val="single" w:color="auto" w:sz="4" w:space="0"/>
              <w:right w:val="single" w:color="auto" w:sz="4" w:space="0"/>
            </w:tcBorders>
            <w:vAlign w:val="center"/>
          </w:tcPr>
          <w:p w14:paraId="3778F8A8">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0011E553">
            <w:pPr>
              <w:spacing w:line="360" w:lineRule="auto"/>
              <w:jc w:val="center"/>
              <w:rPr>
                <w:rFonts w:ascii="宋体" w:hAnsi="宋体"/>
                <w:szCs w:val="21"/>
              </w:rPr>
            </w:pPr>
          </w:p>
        </w:tc>
        <w:tc>
          <w:tcPr>
            <w:tcW w:w="1620" w:type="dxa"/>
            <w:tcBorders>
              <w:top w:val="single" w:color="auto" w:sz="4" w:space="0"/>
              <w:left w:val="nil"/>
              <w:bottom w:val="single" w:color="auto" w:sz="4" w:space="0"/>
              <w:right w:val="single" w:color="auto" w:sz="4" w:space="0"/>
            </w:tcBorders>
            <w:vAlign w:val="center"/>
          </w:tcPr>
          <w:p w14:paraId="69AFEB98">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083DC305">
            <w:pPr>
              <w:spacing w:line="360" w:lineRule="auto"/>
              <w:jc w:val="center"/>
              <w:rPr>
                <w:rFonts w:ascii="宋体" w:hAnsi="宋体"/>
                <w:szCs w:val="21"/>
              </w:rPr>
            </w:pPr>
          </w:p>
        </w:tc>
        <w:tc>
          <w:tcPr>
            <w:tcW w:w="1687" w:type="dxa"/>
            <w:tcBorders>
              <w:top w:val="single" w:color="auto" w:sz="4" w:space="0"/>
              <w:left w:val="nil"/>
              <w:bottom w:val="single" w:color="auto" w:sz="4" w:space="0"/>
              <w:right w:val="single" w:color="auto" w:sz="4" w:space="0"/>
            </w:tcBorders>
            <w:vAlign w:val="center"/>
          </w:tcPr>
          <w:p w14:paraId="66584054">
            <w:pPr>
              <w:spacing w:line="360" w:lineRule="auto"/>
              <w:jc w:val="center"/>
              <w:rPr>
                <w:rFonts w:ascii="宋体" w:hAnsi="宋体"/>
                <w:szCs w:val="21"/>
              </w:rPr>
            </w:pPr>
          </w:p>
        </w:tc>
        <w:tc>
          <w:tcPr>
            <w:tcW w:w="1193" w:type="dxa"/>
            <w:tcBorders>
              <w:top w:val="single" w:color="auto" w:sz="4" w:space="0"/>
              <w:left w:val="nil"/>
              <w:bottom w:val="single" w:color="auto" w:sz="4" w:space="0"/>
              <w:right w:val="single" w:color="auto" w:sz="4" w:space="0"/>
            </w:tcBorders>
            <w:vAlign w:val="center"/>
          </w:tcPr>
          <w:p w14:paraId="05222A5C">
            <w:pPr>
              <w:spacing w:line="360" w:lineRule="auto"/>
              <w:jc w:val="center"/>
              <w:rPr>
                <w:rFonts w:ascii="宋体" w:hAnsi="宋体"/>
                <w:szCs w:val="21"/>
              </w:rPr>
            </w:pPr>
          </w:p>
        </w:tc>
      </w:tr>
      <w:tr w14:paraId="45D44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tcPr>
          <w:p w14:paraId="78EF2127">
            <w:pPr>
              <w:spacing w:line="360" w:lineRule="auto"/>
              <w:jc w:val="center"/>
              <w:rPr>
                <w:rFonts w:ascii="宋体" w:hAnsi="宋体"/>
                <w:szCs w:val="21"/>
              </w:rPr>
            </w:pPr>
          </w:p>
        </w:tc>
        <w:tc>
          <w:tcPr>
            <w:tcW w:w="1665" w:type="dxa"/>
            <w:tcBorders>
              <w:top w:val="single" w:color="auto" w:sz="4" w:space="0"/>
              <w:left w:val="nil"/>
              <w:bottom w:val="single" w:color="auto" w:sz="4" w:space="0"/>
              <w:right w:val="single" w:color="auto" w:sz="4" w:space="0"/>
            </w:tcBorders>
            <w:vAlign w:val="center"/>
          </w:tcPr>
          <w:p w14:paraId="6FBD6EF1">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2D803812">
            <w:pPr>
              <w:spacing w:line="360" w:lineRule="auto"/>
              <w:jc w:val="center"/>
              <w:rPr>
                <w:rFonts w:ascii="宋体" w:hAnsi="宋体"/>
                <w:szCs w:val="21"/>
              </w:rPr>
            </w:pPr>
          </w:p>
        </w:tc>
        <w:tc>
          <w:tcPr>
            <w:tcW w:w="1620" w:type="dxa"/>
            <w:tcBorders>
              <w:top w:val="single" w:color="auto" w:sz="4" w:space="0"/>
              <w:left w:val="nil"/>
              <w:bottom w:val="single" w:color="auto" w:sz="4" w:space="0"/>
              <w:right w:val="single" w:color="auto" w:sz="4" w:space="0"/>
            </w:tcBorders>
            <w:vAlign w:val="center"/>
          </w:tcPr>
          <w:p w14:paraId="551D6932">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2F658A6C">
            <w:pPr>
              <w:spacing w:line="360" w:lineRule="auto"/>
              <w:jc w:val="center"/>
              <w:rPr>
                <w:rFonts w:ascii="宋体" w:hAnsi="宋体"/>
                <w:szCs w:val="21"/>
              </w:rPr>
            </w:pPr>
          </w:p>
        </w:tc>
        <w:tc>
          <w:tcPr>
            <w:tcW w:w="1687" w:type="dxa"/>
            <w:tcBorders>
              <w:top w:val="single" w:color="auto" w:sz="4" w:space="0"/>
              <w:left w:val="nil"/>
              <w:bottom w:val="single" w:color="auto" w:sz="4" w:space="0"/>
              <w:right w:val="single" w:color="auto" w:sz="4" w:space="0"/>
            </w:tcBorders>
            <w:vAlign w:val="center"/>
          </w:tcPr>
          <w:p w14:paraId="269B9FCD">
            <w:pPr>
              <w:spacing w:line="360" w:lineRule="auto"/>
              <w:jc w:val="center"/>
              <w:rPr>
                <w:rFonts w:ascii="宋体" w:hAnsi="宋体"/>
                <w:szCs w:val="21"/>
              </w:rPr>
            </w:pPr>
          </w:p>
        </w:tc>
        <w:tc>
          <w:tcPr>
            <w:tcW w:w="1193" w:type="dxa"/>
            <w:tcBorders>
              <w:top w:val="single" w:color="auto" w:sz="4" w:space="0"/>
              <w:left w:val="nil"/>
              <w:bottom w:val="single" w:color="auto" w:sz="4" w:space="0"/>
              <w:right w:val="single" w:color="auto" w:sz="4" w:space="0"/>
            </w:tcBorders>
            <w:vAlign w:val="center"/>
          </w:tcPr>
          <w:p w14:paraId="53A6776F">
            <w:pPr>
              <w:spacing w:line="360" w:lineRule="auto"/>
              <w:jc w:val="center"/>
              <w:rPr>
                <w:rFonts w:ascii="宋体" w:hAnsi="宋体"/>
                <w:szCs w:val="21"/>
              </w:rPr>
            </w:pPr>
          </w:p>
        </w:tc>
      </w:tr>
      <w:tr w14:paraId="52611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tcPr>
          <w:p w14:paraId="36EDA98C">
            <w:pPr>
              <w:spacing w:line="360" w:lineRule="auto"/>
              <w:jc w:val="center"/>
              <w:rPr>
                <w:rFonts w:ascii="宋体" w:hAnsi="宋体"/>
                <w:szCs w:val="21"/>
              </w:rPr>
            </w:pPr>
          </w:p>
        </w:tc>
        <w:tc>
          <w:tcPr>
            <w:tcW w:w="1665" w:type="dxa"/>
            <w:tcBorders>
              <w:top w:val="single" w:color="auto" w:sz="4" w:space="0"/>
              <w:left w:val="nil"/>
              <w:bottom w:val="single" w:color="auto" w:sz="4" w:space="0"/>
              <w:right w:val="single" w:color="auto" w:sz="4" w:space="0"/>
            </w:tcBorders>
            <w:vAlign w:val="center"/>
          </w:tcPr>
          <w:p w14:paraId="7F49EA2B">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4F813373">
            <w:pPr>
              <w:spacing w:line="360" w:lineRule="auto"/>
              <w:jc w:val="center"/>
              <w:rPr>
                <w:rFonts w:ascii="宋体" w:hAnsi="宋体"/>
                <w:szCs w:val="21"/>
              </w:rPr>
            </w:pPr>
          </w:p>
        </w:tc>
        <w:tc>
          <w:tcPr>
            <w:tcW w:w="1620" w:type="dxa"/>
            <w:tcBorders>
              <w:top w:val="single" w:color="auto" w:sz="4" w:space="0"/>
              <w:left w:val="nil"/>
              <w:bottom w:val="single" w:color="auto" w:sz="4" w:space="0"/>
              <w:right w:val="single" w:color="auto" w:sz="4" w:space="0"/>
            </w:tcBorders>
            <w:vAlign w:val="center"/>
          </w:tcPr>
          <w:p w14:paraId="65907E25">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19AFEF9E">
            <w:pPr>
              <w:spacing w:line="360" w:lineRule="auto"/>
              <w:jc w:val="center"/>
              <w:rPr>
                <w:rFonts w:ascii="宋体" w:hAnsi="宋体"/>
                <w:szCs w:val="21"/>
              </w:rPr>
            </w:pPr>
          </w:p>
        </w:tc>
        <w:tc>
          <w:tcPr>
            <w:tcW w:w="1687" w:type="dxa"/>
            <w:tcBorders>
              <w:top w:val="single" w:color="auto" w:sz="4" w:space="0"/>
              <w:left w:val="nil"/>
              <w:bottom w:val="single" w:color="auto" w:sz="4" w:space="0"/>
              <w:right w:val="single" w:color="auto" w:sz="4" w:space="0"/>
            </w:tcBorders>
            <w:vAlign w:val="center"/>
          </w:tcPr>
          <w:p w14:paraId="6A3FDA67">
            <w:pPr>
              <w:spacing w:line="360" w:lineRule="auto"/>
              <w:jc w:val="center"/>
              <w:rPr>
                <w:rFonts w:ascii="宋体" w:hAnsi="宋体"/>
                <w:szCs w:val="21"/>
              </w:rPr>
            </w:pPr>
          </w:p>
        </w:tc>
        <w:tc>
          <w:tcPr>
            <w:tcW w:w="1193" w:type="dxa"/>
            <w:tcBorders>
              <w:top w:val="single" w:color="auto" w:sz="4" w:space="0"/>
              <w:left w:val="nil"/>
              <w:bottom w:val="single" w:color="auto" w:sz="4" w:space="0"/>
              <w:right w:val="single" w:color="auto" w:sz="4" w:space="0"/>
            </w:tcBorders>
            <w:vAlign w:val="center"/>
          </w:tcPr>
          <w:p w14:paraId="21CAD7BB">
            <w:pPr>
              <w:spacing w:line="360" w:lineRule="auto"/>
              <w:jc w:val="center"/>
              <w:rPr>
                <w:rFonts w:ascii="宋体" w:hAnsi="宋体"/>
                <w:szCs w:val="21"/>
              </w:rPr>
            </w:pPr>
          </w:p>
        </w:tc>
      </w:tr>
      <w:tr w14:paraId="391E4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tcPr>
          <w:p w14:paraId="1465D76D">
            <w:pPr>
              <w:spacing w:line="360" w:lineRule="auto"/>
              <w:jc w:val="center"/>
              <w:rPr>
                <w:rFonts w:ascii="宋体" w:hAnsi="宋体"/>
                <w:szCs w:val="21"/>
              </w:rPr>
            </w:pPr>
          </w:p>
        </w:tc>
        <w:tc>
          <w:tcPr>
            <w:tcW w:w="1665" w:type="dxa"/>
            <w:tcBorders>
              <w:top w:val="single" w:color="auto" w:sz="4" w:space="0"/>
              <w:left w:val="nil"/>
              <w:bottom w:val="single" w:color="auto" w:sz="4" w:space="0"/>
              <w:right w:val="single" w:color="auto" w:sz="4" w:space="0"/>
            </w:tcBorders>
            <w:vAlign w:val="center"/>
          </w:tcPr>
          <w:p w14:paraId="07EAEF8D">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15AD5CFB">
            <w:pPr>
              <w:spacing w:line="360" w:lineRule="auto"/>
              <w:jc w:val="center"/>
              <w:rPr>
                <w:rFonts w:ascii="宋体" w:hAnsi="宋体"/>
                <w:szCs w:val="21"/>
              </w:rPr>
            </w:pPr>
          </w:p>
        </w:tc>
        <w:tc>
          <w:tcPr>
            <w:tcW w:w="1620" w:type="dxa"/>
            <w:tcBorders>
              <w:top w:val="single" w:color="auto" w:sz="4" w:space="0"/>
              <w:left w:val="nil"/>
              <w:bottom w:val="single" w:color="auto" w:sz="4" w:space="0"/>
              <w:right w:val="single" w:color="auto" w:sz="4" w:space="0"/>
            </w:tcBorders>
            <w:vAlign w:val="center"/>
          </w:tcPr>
          <w:p w14:paraId="76D7D70D">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5FA56A94">
            <w:pPr>
              <w:spacing w:line="360" w:lineRule="auto"/>
              <w:jc w:val="center"/>
              <w:rPr>
                <w:rFonts w:ascii="宋体" w:hAnsi="宋体"/>
                <w:szCs w:val="21"/>
              </w:rPr>
            </w:pPr>
          </w:p>
        </w:tc>
        <w:tc>
          <w:tcPr>
            <w:tcW w:w="1687" w:type="dxa"/>
            <w:tcBorders>
              <w:top w:val="single" w:color="auto" w:sz="4" w:space="0"/>
              <w:left w:val="nil"/>
              <w:bottom w:val="single" w:color="auto" w:sz="4" w:space="0"/>
              <w:right w:val="single" w:color="auto" w:sz="4" w:space="0"/>
            </w:tcBorders>
            <w:vAlign w:val="center"/>
          </w:tcPr>
          <w:p w14:paraId="5F188C49">
            <w:pPr>
              <w:spacing w:line="360" w:lineRule="auto"/>
              <w:jc w:val="center"/>
              <w:rPr>
                <w:rFonts w:ascii="宋体" w:hAnsi="宋体"/>
                <w:szCs w:val="21"/>
              </w:rPr>
            </w:pPr>
          </w:p>
        </w:tc>
        <w:tc>
          <w:tcPr>
            <w:tcW w:w="1193" w:type="dxa"/>
            <w:tcBorders>
              <w:top w:val="single" w:color="auto" w:sz="4" w:space="0"/>
              <w:left w:val="nil"/>
              <w:bottom w:val="single" w:color="auto" w:sz="4" w:space="0"/>
              <w:right w:val="single" w:color="auto" w:sz="4" w:space="0"/>
            </w:tcBorders>
            <w:vAlign w:val="center"/>
          </w:tcPr>
          <w:p w14:paraId="3C693DEC">
            <w:pPr>
              <w:spacing w:line="360" w:lineRule="auto"/>
              <w:jc w:val="center"/>
              <w:rPr>
                <w:rFonts w:ascii="宋体" w:hAnsi="宋体"/>
                <w:szCs w:val="21"/>
              </w:rPr>
            </w:pPr>
          </w:p>
        </w:tc>
      </w:tr>
      <w:tr w14:paraId="2A221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tcPr>
          <w:p w14:paraId="1E345404">
            <w:pPr>
              <w:spacing w:line="360" w:lineRule="auto"/>
              <w:jc w:val="center"/>
              <w:rPr>
                <w:rFonts w:ascii="宋体" w:hAnsi="宋体"/>
                <w:szCs w:val="21"/>
              </w:rPr>
            </w:pPr>
          </w:p>
        </w:tc>
        <w:tc>
          <w:tcPr>
            <w:tcW w:w="1665" w:type="dxa"/>
            <w:tcBorders>
              <w:top w:val="single" w:color="auto" w:sz="4" w:space="0"/>
              <w:left w:val="nil"/>
              <w:bottom w:val="single" w:color="auto" w:sz="4" w:space="0"/>
              <w:right w:val="single" w:color="auto" w:sz="4" w:space="0"/>
            </w:tcBorders>
            <w:vAlign w:val="center"/>
          </w:tcPr>
          <w:p w14:paraId="30E4B93E">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407B8494">
            <w:pPr>
              <w:spacing w:line="360" w:lineRule="auto"/>
              <w:jc w:val="center"/>
              <w:rPr>
                <w:rFonts w:ascii="宋体" w:hAnsi="宋体"/>
                <w:szCs w:val="21"/>
              </w:rPr>
            </w:pPr>
          </w:p>
        </w:tc>
        <w:tc>
          <w:tcPr>
            <w:tcW w:w="1620" w:type="dxa"/>
            <w:tcBorders>
              <w:top w:val="single" w:color="auto" w:sz="4" w:space="0"/>
              <w:left w:val="nil"/>
              <w:bottom w:val="single" w:color="auto" w:sz="4" w:space="0"/>
              <w:right w:val="single" w:color="auto" w:sz="4" w:space="0"/>
            </w:tcBorders>
            <w:vAlign w:val="center"/>
          </w:tcPr>
          <w:p w14:paraId="1363E3B7">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381A7A85">
            <w:pPr>
              <w:spacing w:line="360" w:lineRule="auto"/>
              <w:jc w:val="center"/>
              <w:rPr>
                <w:rFonts w:ascii="宋体" w:hAnsi="宋体"/>
                <w:szCs w:val="21"/>
              </w:rPr>
            </w:pPr>
          </w:p>
        </w:tc>
        <w:tc>
          <w:tcPr>
            <w:tcW w:w="1687" w:type="dxa"/>
            <w:tcBorders>
              <w:top w:val="single" w:color="auto" w:sz="4" w:space="0"/>
              <w:left w:val="nil"/>
              <w:bottom w:val="single" w:color="auto" w:sz="4" w:space="0"/>
              <w:right w:val="single" w:color="auto" w:sz="4" w:space="0"/>
            </w:tcBorders>
            <w:vAlign w:val="center"/>
          </w:tcPr>
          <w:p w14:paraId="073CAE5D">
            <w:pPr>
              <w:spacing w:line="360" w:lineRule="auto"/>
              <w:jc w:val="center"/>
              <w:rPr>
                <w:rFonts w:ascii="宋体" w:hAnsi="宋体"/>
                <w:szCs w:val="21"/>
              </w:rPr>
            </w:pPr>
          </w:p>
        </w:tc>
        <w:tc>
          <w:tcPr>
            <w:tcW w:w="1193" w:type="dxa"/>
            <w:tcBorders>
              <w:top w:val="single" w:color="auto" w:sz="4" w:space="0"/>
              <w:left w:val="nil"/>
              <w:bottom w:val="single" w:color="auto" w:sz="4" w:space="0"/>
              <w:right w:val="single" w:color="auto" w:sz="4" w:space="0"/>
            </w:tcBorders>
            <w:vAlign w:val="center"/>
          </w:tcPr>
          <w:p w14:paraId="45C01DFD">
            <w:pPr>
              <w:spacing w:line="360" w:lineRule="auto"/>
              <w:jc w:val="center"/>
              <w:rPr>
                <w:rFonts w:ascii="宋体" w:hAnsi="宋体"/>
                <w:szCs w:val="21"/>
              </w:rPr>
            </w:pPr>
          </w:p>
        </w:tc>
      </w:tr>
      <w:tr w14:paraId="1AB8E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tcPr>
          <w:p w14:paraId="44EF2900">
            <w:pPr>
              <w:spacing w:line="360" w:lineRule="auto"/>
              <w:jc w:val="center"/>
              <w:rPr>
                <w:rFonts w:ascii="宋体" w:hAnsi="宋体"/>
                <w:szCs w:val="21"/>
              </w:rPr>
            </w:pPr>
          </w:p>
        </w:tc>
        <w:tc>
          <w:tcPr>
            <w:tcW w:w="1665" w:type="dxa"/>
            <w:tcBorders>
              <w:top w:val="single" w:color="auto" w:sz="4" w:space="0"/>
              <w:left w:val="nil"/>
              <w:bottom w:val="single" w:color="auto" w:sz="4" w:space="0"/>
              <w:right w:val="single" w:color="auto" w:sz="4" w:space="0"/>
            </w:tcBorders>
            <w:vAlign w:val="center"/>
          </w:tcPr>
          <w:p w14:paraId="0E99555D">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444881AB">
            <w:pPr>
              <w:spacing w:line="360" w:lineRule="auto"/>
              <w:jc w:val="center"/>
              <w:rPr>
                <w:rFonts w:ascii="宋体" w:hAnsi="宋体"/>
                <w:szCs w:val="21"/>
              </w:rPr>
            </w:pPr>
          </w:p>
        </w:tc>
        <w:tc>
          <w:tcPr>
            <w:tcW w:w="1620" w:type="dxa"/>
            <w:tcBorders>
              <w:top w:val="single" w:color="auto" w:sz="4" w:space="0"/>
              <w:left w:val="nil"/>
              <w:bottom w:val="single" w:color="auto" w:sz="4" w:space="0"/>
              <w:right w:val="single" w:color="auto" w:sz="4" w:space="0"/>
            </w:tcBorders>
            <w:vAlign w:val="center"/>
          </w:tcPr>
          <w:p w14:paraId="19C00482">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5533E19F">
            <w:pPr>
              <w:spacing w:line="360" w:lineRule="auto"/>
              <w:jc w:val="center"/>
              <w:rPr>
                <w:rFonts w:ascii="宋体" w:hAnsi="宋体"/>
                <w:szCs w:val="21"/>
              </w:rPr>
            </w:pPr>
          </w:p>
        </w:tc>
        <w:tc>
          <w:tcPr>
            <w:tcW w:w="1687" w:type="dxa"/>
            <w:tcBorders>
              <w:top w:val="single" w:color="auto" w:sz="4" w:space="0"/>
              <w:left w:val="nil"/>
              <w:bottom w:val="single" w:color="auto" w:sz="4" w:space="0"/>
              <w:right w:val="single" w:color="auto" w:sz="4" w:space="0"/>
            </w:tcBorders>
            <w:vAlign w:val="center"/>
          </w:tcPr>
          <w:p w14:paraId="3E32F5D8">
            <w:pPr>
              <w:spacing w:line="360" w:lineRule="auto"/>
              <w:jc w:val="center"/>
              <w:rPr>
                <w:rFonts w:ascii="宋体" w:hAnsi="宋体"/>
                <w:szCs w:val="21"/>
              </w:rPr>
            </w:pPr>
          </w:p>
        </w:tc>
        <w:tc>
          <w:tcPr>
            <w:tcW w:w="1193" w:type="dxa"/>
            <w:tcBorders>
              <w:top w:val="single" w:color="auto" w:sz="4" w:space="0"/>
              <w:left w:val="nil"/>
              <w:bottom w:val="single" w:color="auto" w:sz="4" w:space="0"/>
              <w:right w:val="single" w:color="auto" w:sz="4" w:space="0"/>
            </w:tcBorders>
            <w:vAlign w:val="center"/>
          </w:tcPr>
          <w:p w14:paraId="224BEF91">
            <w:pPr>
              <w:spacing w:line="360" w:lineRule="auto"/>
              <w:jc w:val="center"/>
              <w:rPr>
                <w:rFonts w:ascii="宋体" w:hAnsi="宋体"/>
                <w:szCs w:val="21"/>
              </w:rPr>
            </w:pPr>
          </w:p>
        </w:tc>
      </w:tr>
      <w:tr w14:paraId="381A6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tcPr>
          <w:p w14:paraId="2547285D">
            <w:pPr>
              <w:spacing w:line="360" w:lineRule="auto"/>
              <w:jc w:val="center"/>
              <w:rPr>
                <w:rFonts w:ascii="宋体" w:hAnsi="宋体"/>
                <w:szCs w:val="21"/>
              </w:rPr>
            </w:pPr>
          </w:p>
        </w:tc>
        <w:tc>
          <w:tcPr>
            <w:tcW w:w="1665" w:type="dxa"/>
            <w:tcBorders>
              <w:top w:val="single" w:color="auto" w:sz="4" w:space="0"/>
              <w:left w:val="nil"/>
              <w:bottom w:val="single" w:color="auto" w:sz="4" w:space="0"/>
              <w:right w:val="single" w:color="auto" w:sz="4" w:space="0"/>
            </w:tcBorders>
            <w:vAlign w:val="center"/>
          </w:tcPr>
          <w:p w14:paraId="119CC21C">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70F03546">
            <w:pPr>
              <w:spacing w:line="360" w:lineRule="auto"/>
              <w:jc w:val="center"/>
              <w:rPr>
                <w:rFonts w:ascii="宋体" w:hAnsi="宋体"/>
                <w:szCs w:val="21"/>
              </w:rPr>
            </w:pPr>
          </w:p>
        </w:tc>
        <w:tc>
          <w:tcPr>
            <w:tcW w:w="1620" w:type="dxa"/>
            <w:tcBorders>
              <w:top w:val="single" w:color="auto" w:sz="4" w:space="0"/>
              <w:left w:val="nil"/>
              <w:bottom w:val="single" w:color="auto" w:sz="4" w:space="0"/>
              <w:right w:val="single" w:color="auto" w:sz="4" w:space="0"/>
            </w:tcBorders>
            <w:vAlign w:val="center"/>
          </w:tcPr>
          <w:p w14:paraId="2847CE6A">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355F60F2">
            <w:pPr>
              <w:spacing w:line="360" w:lineRule="auto"/>
              <w:jc w:val="center"/>
              <w:rPr>
                <w:rFonts w:ascii="宋体" w:hAnsi="宋体"/>
                <w:szCs w:val="21"/>
              </w:rPr>
            </w:pPr>
          </w:p>
        </w:tc>
        <w:tc>
          <w:tcPr>
            <w:tcW w:w="1687" w:type="dxa"/>
            <w:tcBorders>
              <w:top w:val="single" w:color="auto" w:sz="4" w:space="0"/>
              <w:left w:val="nil"/>
              <w:bottom w:val="single" w:color="auto" w:sz="4" w:space="0"/>
              <w:right w:val="single" w:color="auto" w:sz="4" w:space="0"/>
            </w:tcBorders>
            <w:vAlign w:val="center"/>
          </w:tcPr>
          <w:p w14:paraId="76CA3075">
            <w:pPr>
              <w:spacing w:line="360" w:lineRule="auto"/>
              <w:jc w:val="center"/>
              <w:rPr>
                <w:rFonts w:ascii="宋体" w:hAnsi="宋体"/>
                <w:szCs w:val="21"/>
              </w:rPr>
            </w:pPr>
          </w:p>
        </w:tc>
        <w:tc>
          <w:tcPr>
            <w:tcW w:w="1193" w:type="dxa"/>
            <w:tcBorders>
              <w:top w:val="single" w:color="auto" w:sz="4" w:space="0"/>
              <w:left w:val="nil"/>
              <w:bottom w:val="single" w:color="auto" w:sz="4" w:space="0"/>
              <w:right w:val="single" w:color="auto" w:sz="4" w:space="0"/>
            </w:tcBorders>
            <w:vAlign w:val="center"/>
          </w:tcPr>
          <w:p w14:paraId="3C14B80D">
            <w:pPr>
              <w:spacing w:line="360" w:lineRule="auto"/>
              <w:jc w:val="center"/>
              <w:rPr>
                <w:rFonts w:ascii="宋体" w:hAnsi="宋体"/>
                <w:szCs w:val="21"/>
              </w:rPr>
            </w:pPr>
          </w:p>
        </w:tc>
      </w:tr>
      <w:tr w14:paraId="7F185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tcPr>
          <w:p w14:paraId="39A68D2C">
            <w:pPr>
              <w:spacing w:line="360" w:lineRule="auto"/>
              <w:jc w:val="center"/>
              <w:rPr>
                <w:rFonts w:ascii="宋体" w:hAnsi="宋体"/>
                <w:szCs w:val="21"/>
              </w:rPr>
            </w:pPr>
          </w:p>
        </w:tc>
        <w:tc>
          <w:tcPr>
            <w:tcW w:w="1665" w:type="dxa"/>
            <w:tcBorders>
              <w:top w:val="single" w:color="auto" w:sz="4" w:space="0"/>
              <w:left w:val="nil"/>
              <w:bottom w:val="single" w:color="auto" w:sz="4" w:space="0"/>
              <w:right w:val="single" w:color="auto" w:sz="4" w:space="0"/>
            </w:tcBorders>
            <w:vAlign w:val="center"/>
          </w:tcPr>
          <w:p w14:paraId="476F2A51">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0C6B27E1">
            <w:pPr>
              <w:spacing w:line="360" w:lineRule="auto"/>
              <w:jc w:val="center"/>
              <w:rPr>
                <w:rFonts w:ascii="宋体" w:hAnsi="宋体"/>
                <w:szCs w:val="21"/>
              </w:rPr>
            </w:pPr>
          </w:p>
        </w:tc>
        <w:tc>
          <w:tcPr>
            <w:tcW w:w="1620" w:type="dxa"/>
            <w:tcBorders>
              <w:top w:val="single" w:color="auto" w:sz="4" w:space="0"/>
              <w:left w:val="nil"/>
              <w:bottom w:val="single" w:color="auto" w:sz="4" w:space="0"/>
              <w:right w:val="single" w:color="auto" w:sz="4" w:space="0"/>
            </w:tcBorders>
            <w:vAlign w:val="center"/>
          </w:tcPr>
          <w:p w14:paraId="0D316147">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45FEA257">
            <w:pPr>
              <w:spacing w:line="360" w:lineRule="auto"/>
              <w:jc w:val="center"/>
              <w:rPr>
                <w:rFonts w:ascii="宋体" w:hAnsi="宋体"/>
                <w:szCs w:val="21"/>
              </w:rPr>
            </w:pPr>
          </w:p>
        </w:tc>
        <w:tc>
          <w:tcPr>
            <w:tcW w:w="1687" w:type="dxa"/>
            <w:tcBorders>
              <w:top w:val="single" w:color="auto" w:sz="4" w:space="0"/>
              <w:left w:val="nil"/>
              <w:bottom w:val="single" w:color="auto" w:sz="4" w:space="0"/>
              <w:right w:val="single" w:color="auto" w:sz="4" w:space="0"/>
            </w:tcBorders>
            <w:vAlign w:val="center"/>
          </w:tcPr>
          <w:p w14:paraId="6201CC58">
            <w:pPr>
              <w:spacing w:line="360" w:lineRule="auto"/>
              <w:jc w:val="center"/>
              <w:rPr>
                <w:rFonts w:ascii="宋体" w:hAnsi="宋体"/>
                <w:szCs w:val="21"/>
              </w:rPr>
            </w:pPr>
          </w:p>
        </w:tc>
        <w:tc>
          <w:tcPr>
            <w:tcW w:w="1193" w:type="dxa"/>
            <w:tcBorders>
              <w:top w:val="single" w:color="auto" w:sz="4" w:space="0"/>
              <w:left w:val="nil"/>
              <w:bottom w:val="single" w:color="auto" w:sz="4" w:space="0"/>
              <w:right w:val="single" w:color="auto" w:sz="4" w:space="0"/>
            </w:tcBorders>
            <w:vAlign w:val="center"/>
          </w:tcPr>
          <w:p w14:paraId="2C50FDBF">
            <w:pPr>
              <w:spacing w:line="360" w:lineRule="auto"/>
              <w:jc w:val="center"/>
              <w:rPr>
                <w:rFonts w:ascii="宋体" w:hAnsi="宋体"/>
                <w:szCs w:val="21"/>
              </w:rPr>
            </w:pPr>
          </w:p>
        </w:tc>
      </w:tr>
      <w:tr w14:paraId="33499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tcPr>
          <w:p w14:paraId="4EF0C228">
            <w:pPr>
              <w:spacing w:line="360" w:lineRule="auto"/>
              <w:jc w:val="center"/>
              <w:rPr>
                <w:rFonts w:ascii="宋体" w:hAnsi="宋体"/>
                <w:szCs w:val="21"/>
              </w:rPr>
            </w:pPr>
          </w:p>
        </w:tc>
        <w:tc>
          <w:tcPr>
            <w:tcW w:w="1665" w:type="dxa"/>
            <w:tcBorders>
              <w:top w:val="single" w:color="auto" w:sz="4" w:space="0"/>
              <w:left w:val="nil"/>
              <w:bottom w:val="single" w:color="auto" w:sz="4" w:space="0"/>
              <w:right w:val="single" w:color="auto" w:sz="4" w:space="0"/>
            </w:tcBorders>
            <w:vAlign w:val="center"/>
          </w:tcPr>
          <w:p w14:paraId="10F076D3">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21A0C5F8">
            <w:pPr>
              <w:spacing w:line="360" w:lineRule="auto"/>
              <w:jc w:val="center"/>
              <w:rPr>
                <w:rFonts w:ascii="宋体" w:hAnsi="宋体"/>
                <w:szCs w:val="21"/>
              </w:rPr>
            </w:pPr>
          </w:p>
        </w:tc>
        <w:tc>
          <w:tcPr>
            <w:tcW w:w="1620" w:type="dxa"/>
            <w:tcBorders>
              <w:top w:val="single" w:color="auto" w:sz="4" w:space="0"/>
              <w:left w:val="nil"/>
              <w:bottom w:val="single" w:color="auto" w:sz="4" w:space="0"/>
              <w:right w:val="single" w:color="auto" w:sz="4" w:space="0"/>
            </w:tcBorders>
            <w:vAlign w:val="center"/>
          </w:tcPr>
          <w:p w14:paraId="3CC48539">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1F741216">
            <w:pPr>
              <w:spacing w:line="360" w:lineRule="auto"/>
              <w:jc w:val="center"/>
              <w:rPr>
                <w:rFonts w:ascii="宋体" w:hAnsi="宋体"/>
                <w:szCs w:val="21"/>
              </w:rPr>
            </w:pPr>
          </w:p>
        </w:tc>
        <w:tc>
          <w:tcPr>
            <w:tcW w:w="1687" w:type="dxa"/>
            <w:tcBorders>
              <w:top w:val="single" w:color="auto" w:sz="4" w:space="0"/>
              <w:left w:val="nil"/>
              <w:bottom w:val="single" w:color="auto" w:sz="4" w:space="0"/>
              <w:right w:val="single" w:color="auto" w:sz="4" w:space="0"/>
            </w:tcBorders>
            <w:vAlign w:val="center"/>
          </w:tcPr>
          <w:p w14:paraId="01442285">
            <w:pPr>
              <w:spacing w:line="360" w:lineRule="auto"/>
              <w:jc w:val="center"/>
              <w:rPr>
                <w:rFonts w:ascii="宋体" w:hAnsi="宋体"/>
                <w:szCs w:val="21"/>
              </w:rPr>
            </w:pPr>
          </w:p>
        </w:tc>
        <w:tc>
          <w:tcPr>
            <w:tcW w:w="1193" w:type="dxa"/>
            <w:tcBorders>
              <w:top w:val="single" w:color="auto" w:sz="4" w:space="0"/>
              <w:left w:val="nil"/>
              <w:bottom w:val="single" w:color="auto" w:sz="4" w:space="0"/>
              <w:right w:val="single" w:color="auto" w:sz="4" w:space="0"/>
            </w:tcBorders>
            <w:vAlign w:val="center"/>
          </w:tcPr>
          <w:p w14:paraId="5577795C">
            <w:pPr>
              <w:spacing w:line="360" w:lineRule="auto"/>
              <w:jc w:val="center"/>
              <w:rPr>
                <w:rFonts w:ascii="宋体" w:hAnsi="宋体"/>
                <w:szCs w:val="21"/>
              </w:rPr>
            </w:pPr>
          </w:p>
        </w:tc>
      </w:tr>
      <w:tr w14:paraId="23EC7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tcPr>
          <w:p w14:paraId="50BBD677">
            <w:pPr>
              <w:spacing w:line="360" w:lineRule="auto"/>
              <w:jc w:val="center"/>
              <w:rPr>
                <w:rFonts w:ascii="宋体" w:hAnsi="宋体"/>
                <w:szCs w:val="21"/>
              </w:rPr>
            </w:pPr>
          </w:p>
        </w:tc>
        <w:tc>
          <w:tcPr>
            <w:tcW w:w="1665" w:type="dxa"/>
            <w:tcBorders>
              <w:top w:val="single" w:color="auto" w:sz="4" w:space="0"/>
              <w:left w:val="nil"/>
              <w:bottom w:val="single" w:color="auto" w:sz="4" w:space="0"/>
              <w:right w:val="single" w:color="auto" w:sz="4" w:space="0"/>
            </w:tcBorders>
            <w:vAlign w:val="center"/>
          </w:tcPr>
          <w:p w14:paraId="07058DC4">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0DBFC816">
            <w:pPr>
              <w:spacing w:line="360" w:lineRule="auto"/>
              <w:jc w:val="center"/>
              <w:rPr>
                <w:rFonts w:ascii="宋体" w:hAnsi="宋体"/>
                <w:szCs w:val="21"/>
              </w:rPr>
            </w:pPr>
          </w:p>
        </w:tc>
        <w:tc>
          <w:tcPr>
            <w:tcW w:w="1620" w:type="dxa"/>
            <w:tcBorders>
              <w:top w:val="single" w:color="auto" w:sz="4" w:space="0"/>
              <w:left w:val="nil"/>
              <w:bottom w:val="single" w:color="auto" w:sz="4" w:space="0"/>
              <w:right w:val="single" w:color="auto" w:sz="4" w:space="0"/>
            </w:tcBorders>
            <w:vAlign w:val="center"/>
          </w:tcPr>
          <w:p w14:paraId="6BBCF4C9">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1BF3740B">
            <w:pPr>
              <w:spacing w:line="360" w:lineRule="auto"/>
              <w:jc w:val="center"/>
              <w:rPr>
                <w:rFonts w:ascii="宋体" w:hAnsi="宋体"/>
                <w:szCs w:val="21"/>
              </w:rPr>
            </w:pPr>
          </w:p>
        </w:tc>
        <w:tc>
          <w:tcPr>
            <w:tcW w:w="1687" w:type="dxa"/>
            <w:tcBorders>
              <w:top w:val="single" w:color="auto" w:sz="4" w:space="0"/>
              <w:left w:val="nil"/>
              <w:bottom w:val="single" w:color="auto" w:sz="4" w:space="0"/>
              <w:right w:val="single" w:color="auto" w:sz="4" w:space="0"/>
            </w:tcBorders>
            <w:vAlign w:val="center"/>
          </w:tcPr>
          <w:p w14:paraId="30F6A5AB">
            <w:pPr>
              <w:spacing w:line="360" w:lineRule="auto"/>
              <w:jc w:val="center"/>
              <w:rPr>
                <w:rFonts w:ascii="宋体" w:hAnsi="宋体"/>
                <w:szCs w:val="21"/>
              </w:rPr>
            </w:pPr>
          </w:p>
        </w:tc>
        <w:tc>
          <w:tcPr>
            <w:tcW w:w="1193" w:type="dxa"/>
            <w:tcBorders>
              <w:top w:val="single" w:color="auto" w:sz="4" w:space="0"/>
              <w:left w:val="nil"/>
              <w:bottom w:val="single" w:color="auto" w:sz="4" w:space="0"/>
              <w:right w:val="single" w:color="auto" w:sz="4" w:space="0"/>
            </w:tcBorders>
            <w:vAlign w:val="center"/>
          </w:tcPr>
          <w:p w14:paraId="351DB01D">
            <w:pPr>
              <w:spacing w:line="360" w:lineRule="auto"/>
              <w:jc w:val="center"/>
              <w:rPr>
                <w:rFonts w:ascii="宋体" w:hAnsi="宋体"/>
                <w:szCs w:val="21"/>
              </w:rPr>
            </w:pPr>
          </w:p>
        </w:tc>
      </w:tr>
      <w:tr w14:paraId="24CAE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tcPr>
          <w:p w14:paraId="3CA946D9">
            <w:pPr>
              <w:spacing w:line="360" w:lineRule="auto"/>
              <w:jc w:val="center"/>
              <w:rPr>
                <w:rFonts w:ascii="宋体" w:hAnsi="宋体"/>
                <w:szCs w:val="21"/>
              </w:rPr>
            </w:pPr>
          </w:p>
        </w:tc>
        <w:tc>
          <w:tcPr>
            <w:tcW w:w="1665" w:type="dxa"/>
            <w:tcBorders>
              <w:top w:val="single" w:color="auto" w:sz="4" w:space="0"/>
              <w:left w:val="nil"/>
              <w:bottom w:val="single" w:color="auto" w:sz="4" w:space="0"/>
              <w:right w:val="single" w:color="auto" w:sz="4" w:space="0"/>
            </w:tcBorders>
            <w:vAlign w:val="center"/>
          </w:tcPr>
          <w:p w14:paraId="29A04865">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07120454">
            <w:pPr>
              <w:spacing w:line="360" w:lineRule="auto"/>
              <w:jc w:val="center"/>
              <w:rPr>
                <w:rFonts w:ascii="宋体" w:hAnsi="宋体"/>
                <w:szCs w:val="21"/>
              </w:rPr>
            </w:pPr>
          </w:p>
        </w:tc>
        <w:tc>
          <w:tcPr>
            <w:tcW w:w="1620" w:type="dxa"/>
            <w:tcBorders>
              <w:top w:val="single" w:color="auto" w:sz="4" w:space="0"/>
              <w:left w:val="nil"/>
              <w:bottom w:val="single" w:color="auto" w:sz="4" w:space="0"/>
              <w:right w:val="single" w:color="auto" w:sz="4" w:space="0"/>
            </w:tcBorders>
            <w:vAlign w:val="center"/>
          </w:tcPr>
          <w:p w14:paraId="20448401">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4B6B3ACB">
            <w:pPr>
              <w:spacing w:line="360" w:lineRule="auto"/>
              <w:jc w:val="center"/>
              <w:rPr>
                <w:rFonts w:ascii="宋体" w:hAnsi="宋体"/>
                <w:szCs w:val="21"/>
              </w:rPr>
            </w:pPr>
          </w:p>
        </w:tc>
        <w:tc>
          <w:tcPr>
            <w:tcW w:w="1687" w:type="dxa"/>
            <w:tcBorders>
              <w:top w:val="single" w:color="auto" w:sz="4" w:space="0"/>
              <w:left w:val="nil"/>
              <w:bottom w:val="single" w:color="auto" w:sz="4" w:space="0"/>
              <w:right w:val="single" w:color="auto" w:sz="4" w:space="0"/>
            </w:tcBorders>
            <w:vAlign w:val="center"/>
          </w:tcPr>
          <w:p w14:paraId="0BF160DB">
            <w:pPr>
              <w:spacing w:line="360" w:lineRule="auto"/>
              <w:jc w:val="center"/>
              <w:rPr>
                <w:rFonts w:ascii="宋体" w:hAnsi="宋体"/>
                <w:szCs w:val="21"/>
              </w:rPr>
            </w:pPr>
          </w:p>
        </w:tc>
        <w:tc>
          <w:tcPr>
            <w:tcW w:w="1193" w:type="dxa"/>
            <w:tcBorders>
              <w:top w:val="single" w:color="auto" w:sz="4" w:space="0"/>
              <w:left w:val="nil"/>
              <w:bottom w:val="single" w:color="auto" w:sz="4" w:space="0"/>
              <w:right w:val="single" w:color="auto" w:sz="4" w:space="0"/>
            </w:tcBorders>
            <w:vAlign w:val="center"/>
          </w:tcPr>
          <w:p w14:paraId="77B1E885">
            <w:pPr>
              <w:spacing w:line="360" w:lineRule="auto"/>
              <w:jc w:val="center"/>
              <w:rPr>
                <w:rFonts w:ascii="宋体" w:hAnsi="宋体"/>
                <w:szCs w:val="21"/>
              </w:rPr>
            </w:pPr>
          </w:p>
        </w:tc>
      </w:tr>
      <w:tr w14:paraId="493C8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tcPr>
          <w:p w14:paraId="72A8FD39">
            <w:pPr>
              <w:spacing w:line="360" w:lineRule="auto"/>
              <w:jc w:val="center"/>
              <w:rPr>
                <w:rFonts w:ascii="宋体" w:hAnsi="宋体"/>
                <w:szCs w:val="21"/>
              </w:rPr>
            </w:pPr>
          </w:p>
        </w:tc>
        <w:tc>
          <w:tcPr>
            <w:tcW w:w="1665" w:type="dxa"/>
            <w:tcBorders>
              <w:top w:val="single" w:color="auto" w:sz="4" w:space="0"/>
              <w:left w:val="nil"/>
              <w:bottom w:val="single" w:color="auto" w:sz="4" w:space="0"/>
              <w:right w:val="single" w:color="auto" w:sz="4" w:space="0"/>
            </w:tcBorders>
            <w:vAlign w:val="center"/>
          </w:tcPr>
          <w:p w14:paraId="50C169A4">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04715093">
            <w:pPr>
              <w:spacing w:line="360" w:lineRule="auto"/>
              <w:jc w:val="center"/>
              <w:rPr>
                <w:rFonts w:ascii="宋体" w:hAnsi="宋体"/>
                <w:szCs w:val="21"/>
              </w:rPr>
            </w:pPr>
          </w:p>
        </w:tc>
        <w:tc>
          <w:tcPr>
            <w:tcW w:w="1620" w:type="dxa"/>
            <w:tcBorders>
              <w:top w:val="single" w:color="auto" w:sz="4" w:space="0"/>
              <w:left w:val="nil"/>
              <w:bottom w:val="single" w:color="auto" w:sz="4" w:space="0"/>
              <w:right w:val="single" w:color="auto" w:sz="4" w:space="0"/>
            </w:tcBorders>
            <w:vAlign w:val="center"/>
          </w:tcPr>
          <w:p w14:paraId="6AD993C3">
            <w:pPr>
              <w:spacing w:line="360" w:lineRule="auto"/>
              <w:jc w:val="center"/>
              <w:rPr>
                <w:rFonts w:ascii="宋体" w:hAnsi="宋体"/>
                <w:szCs w:val="21"/>
              </w:rPr>
            </w:pPr>
          </w:p>
        </w:tc>
        <w:tc>
          <w:tcPr>
            <w:tcW w:w="1800" w:type="dxa"/>
            <w:tcBorders>
              <w:top w:val="single" w:color="auto" w:sz="4" w:space="0"/>
              <w:left w:val="nil"/>
              <w:bottom w:val="single" w:color="auto" w:sz="4" w:space="0"/>
              <w:right w:val="single" w:color="auto" w:sz="4" w:space="0"/>
            </w:tcBorders>
            <w:vAlign w:val="center"/>
          </w:tcPr>
          <w:p w14:paraId="2F5B07B5">
            <w:pPr>
              <w:spacing w:line="360" w:lineRule="auto"/>
              <w:jc w:val="center"/>
              <w:rPr>
                <w:rFonts w:ascii="宋体" w:hAnsi="宋体"/>
                <w:szCs w:val="21"/>
              </w:rPr>
            </w:pPr>
          </w:p>
        </w:tc>
        <w:tc>
          <w:tcPr>
            <w:tcW w:w="1687" w:type="dxa"/>
            <w:tcBorders>
              <w:top w:val="single" w:color="auto" w:sz="4" w:space="0"/>
              <w:left w:val="nil"/>
              <w:bottom w:val="single" w:color="auto" w:sz="4" w:space="0"/>
              <w:right w:val="single" w:color="auto" w:sz="4" w:space="0"/>
            </w:tcBorders>
            <w:vAlign w:val="center"/>
          </w:tcPr>
          <w:p w14:paraId="383C0388">
            <w:pPr>
              <w:spacing w:line="360" w:lineRule="auto"/>
              <w:jc w:val="center"/>
              <w:rPr>
                <w:rFonts w:ascii="宋体" w:hAnsi="宋体"/>
                <w:szCs w:val="21"/>
              </w:rPr>
            </w:pPr>
          </w:p>
        </w:tc>
        <w:tc>
          <w:tcPr>
            <w:tcW w:w="1193" w:type="dxa"/>
            <w:tcBorders>
              <w:top w:val="single" w:color="auto" w:sz="4" w:space="0"/>
              <w:left w:val="nil"/>
              <w:bottom w:val="single" w:color="auto" w:sz="4" w:space="0"/>
              <w:right w:val="single" w:color="auto" w:sz="4" w:space="0"/>
            </w:tcBorders>
            <w:vAlign w:val="center"/>
          </w:tcPr>
          <w:p w14:paraId="16A485E7">
            <w:pPr>
              <w:spacing w:line="360" w:lineRule="auto"/>
              <w:jc w:val="center"/>
              <w:rPr>
                <w:rFonts w:ascii="宋体" w:hAnsi="宋体"/>
                <w:szCs w:val="21"/>
              </w:rPr>
            </w:pPr>
          </w:p>
        </w:tc>
      </w:tr>
    </w:tbl>
    <w:p w14:paraId="026B590B">
      <w:pPr>
        <w:spacing w:line="300" w:lineRule="exact"/>
        <w:jc w:val="left"/>
        <w:rPr>
          <w:rFonts w:ascii="宋体" w:hAnsi="宋体"/>
          <w:b/>
          <w:szCs w:val="21"/>
        </w:rPr>
      </w:pPr>
      <w:r>
        <w:rPr>
          <w:rFonts w:hint="eastAsia" w:ascii="宋体" w:hAnsi="宋体"/>
          <w:b/>
          <w:szCs w:val="21"/>
        </w:rPr>
        <w:t>注：以上机械车辆的材料都需提供复印件盖章附后</w:t>
      </w:r>
    </w:p>
    <w:p w14:paraId="7CFEDB90">
      <w:pPr>
        <w:spacing w:line="420" w:lineRule="exact"/>
        <w:rPr>
          <w:rFonts w:ascii="宋体" w:hAnsi="宋体"/>
          <w:b/>
          <w:szCs w:val="21"/>
        </w:rPr>
      </w:pPr>
      <w:r>
        <w:rPr>
          <w:rFonts w:hint="eastAsia" w:ascii="宋体" w:hAnsi="宋体"/>
          <w:b/>
          <w:szCs w:val="21"/>
        </w:rPr>
        <w:t xml:space="preserve"> </w:t>
      </w:r>
    </w:p>
    <w:p w14:paraId="5748A471">
      <w:pPr>
        <w:spacing w:line="500" w:lineRule="exact"/>
        <w:rPr>
          <w:rFonts w:ascii="仿宋" w:hAnsi="仿宋" w:eastAsia="仿宋"/>
          <w:bCs/>
          <w:szCs w:val="21"/>
        </w:rPr>
      </w:pPr>
      <w:r>
        <w:rPr>
          <w:rFonts w:hint="eastAsia"/>
          <w:szCs w:val="21"/>
        </w:rPr>
        <w:t xml:space="preserve">          </w:t>
      </w:r>
    </w:p>
    <w:p w14:paraId="1DC96F3A">
      <w:pPr>
        <w:rPr>
          <w:rFonts w:ascii="宋体" w:hAnsi="宋体"/>
          <w:b/>
          <w:szCs w:val="21"/>
        </w:rPr>
      </w:pPr>
      <w:r>
        <w:rPr>
          <w:rFonts w:hint="eastAsia" w:ascii="宋体" w:hAnsi="宋体"/>
          <w:b/>
          <w:szCs w:val="21"/>
        </w:rPr>
        <w:br w:type="page"/>
      </w:r>
    </w:p>
    <w:p w14:paraId="5D5B95B5">
      <w:pPr>
        <w:spacing w:line="560" w:lineRule="exact"/>
        <w:rPr>
          <w:rFonts w:ascii="宋体" w:hAnsi="宋体"/>
          <w:b/>
          <w:szCs w:val="21"/>
        </w:rPr>
      </w:pPr>
      <w:r>
        <w:rPr>
          <w:rFonts w:hint="eastAsia" w:ascii="宋体" w:hAnsi="宋体"/>
          <w:b/>
          <w:szCs w:val="21"/>
        </w:rPr>
        <w:t>附件</w:t>
      </w:r>
      <w:r>
        <w:rPr>
          <w:rFonts w:hint="eastAsia" w:ascii="宋体" w:hAnsi="宋体"/>
          <w:b/>
          <w:szCs w:val="21"/>
          <w:lang w:val="en-US" w:eastAsia="zh-CN"/>
        </w:rPr>
        <w:t>6</w:t>
      </w:r>
      <w:r>
        <w:rPr>
          <w:rFonts w:hint="eastAsia" w:ascii="宋体" w:hAnsi="宋体"/>
          <w:b/>
          <w:szCs w:val="21"/>
        </w:rPr>
        <w:t>：</w:t>
      </w:r>
    </w:p>
    <w:p w14:paraId="73530F9F">
      <w:pPr>
        <w:spacing w:line="560" w:lineRule="exact"/>
        <w:jc w:val="center"/>
        <w:rPr>
          <w:rFonts w:ascii="仿宋" w:hAnsi="仿宋" w:eastAsia="仿宋"/>
          <w:b/>
          <w:bCs/>
          <w:szCs w:val="21"/>
        </w:rPr>
      </w:pPr>
      <w:r>
        <w:rPr>
          <w:rFonts w:hint="eastAsia" w:ascii="仿宋" w:hAnsi="仿宋" w:eastAsia="仿宋"/>
          <w:b/>
          <w:bCs/>
          <w:szCs w:val="21"/>
        </w:rPr>
        <w:t>相关方安全管理协议</w:t>
      </w:r>
    </w:p>
    <w:p w14:paraId="417A3B72">
      <w:pPr>
        <w:spacing w:line="560" w:lineRule="exact"/>
        <w:jc w:val="center"/>
        <w:rPr>
          <w:rFonts w:ascii="仿宋" w:hAnsi="仿宋" w:eastAsia="仿宋"/>
          <w:szCs w:val="21"/>
        </w:rPr>
      </w:pPr>
      <w:r>
        <w:rPr>
          <w:rFonts w:hint="eastAsia" w:ascii="仿宋" w:hAnsi="仿宋" w:eastAsia="仿宋"/>
          <w:szCs w:val="21"/>
        </w:rPr>
        <w:t>(维修、施工、信息业务)</w:t>
      </w:r>
    </w:p>
    <w:p w14:paraId="0FD46ADE">
      <w:pPr>
        <w:spacing w:line="560" w:lineRule="exact"/>
        <w:rPr>
          <w:rFonts w:ascii="仿宋" w:hAnsi="仿宋" w:eastAsia="仿宋"/>
          <w:szCs w:val="21"/>
        </w:rPr>
      </w:pPr>
      <w:r>
        <w:rPr>
          <w:rFonts w:hint="eastAsia" w:ascii="仿宋" w:hAnsi="仿宋" w:eastAsia="仿宋"/>
          <w:szCs w:val="21"/>
        </w:rPr>
        <w:t>甲方：温州金洋集装箱码头有限公司（以下简称甲方）</w:t>
      </w:r>
    </w:p>
    <w:p w14:paraId="6CE6ECF6">
      <w:pPr>
        <w:spacing w:line="560" w:lineRule="exact"/>
        <w:rPr>
          <w:rFonts w:ascii="仿宋" w:hAnsi="仿宋" w:eastAsia="仿宋"/>
          <w:szCs w:val="21"/>
        </w:rPr>
      </w:pPr>
      <w:r>
        <w:rPr>
          <w:rFonts w:hint="eastAsia" w:ascii="仿宋" w:hAnsi="仿宋" w:eastAsia="仿宋"/>
          <w:szCs w:val="21"/>
        </w:rPr>
        <w:t>乙方：</w:t>
      </w:r>
      <w:r>
        <w:rPr>
          <w:rFonts w:hint="eastAsia" w:ascii="仿宋" w:hAnsi="仿宋" w:eastAsia="仿宋"/>
          <w:szCs w:val="21"/>
          <w:u w:val="single"/>
        </w:rPr>
        <w:t xml:space="preserve">                          </w:t>
      </w:r>
      <w:r>
        <w:rPr>
          <w:rFonts w:hint="eastAsia" w:ascii="仿宋" w:hAnsi="仿宋" w:eastAsia="仿宋"/>
          <w:szCs w:val="21"/>
        </w:rPr>
        <w:t>（以下简称乙方）</w:t>
      </w:r>
    </w:p>
    <w:p w14:paraId="5D6208D9">
      <w:pPr>
        <w:spacing w:line="560" w:lineRule="exact"/>
        <w:ind w:firstLine="420" w:firstLineChars="200"/>
        <w:jc w:val="left"/>
        <w:rPr>
          <w:rFonts w:ascii="仿宋" w:hAnsi="仿宋" w:eastAsia="仿宋"/>
          <w:szCs w:val="21"/>
        </w:rPr>
      </w:pPr>
      <w:r>
        <w:rPr>
          <w:rFonts w:hint="eastAsia" w:ascii="仿宋" w:hAnsi="仿宋" w:eastAsia="仿宋"/>
          <w:szCs w:val="21"/>
        </w:rPr>
        <w:t>乙方因业务需要，需要在甲方管辖区域内进行</w:t>
      </w:r>
      <w:r>
        <w:rPr>
          <w:rFonts w:hint="eastAsia" w:ascii="仿宋" w:hAnsi="仿宋" w:eastAsia="仿宋"/>
          <w:szCs w:val="21"/>
          <w:u w:val="single"/>
        </w:rPr>
        <w:t xml:space="preserve">               </w:t>
      </w:r>
      <w:r>
        <w:rPr>
          <w:rFonts w:hint="eastAsia" w:ascii="仿宋" w:hAnsi="仿宋" w:eastAsia="仿宋"/>
          <w:szCs w:val="21"/>
        </w:rPr>
        <w:t>。根据安全相关法律法规，经双方友好协商，现就各自安全生产管理的责任签订协议如下：</w:t>
      </w:r>
    </w:p>
    <w:p w14:paraId="030366D4">
      <w:pPr>
        <w:spacing w:line="560" w:lineRule="exact"/>
        <w:ind w:firstLine="420" w:firstLineChars="200"/>
        <w:rPr>
          <w:rFonts w:ascii="仿宋" w:hAnsi="仿宋" w:eastAsia="仿宋"/>
          <w:szCs w:val="21"/>
          <w:u w:val="single"/>
        </w:rPr>
      </w:pPr>
      <w:r>
        <w:rPr>
          <w:rFonts w:hint="eastAsia" w:ascii="仿宋" w:hAnsi="仿宋" w:eastAsia="仿宋"/>
          <w:szCs w:val="21"/>
        </w:rPr>
        <w:t>一、作业地点：</w:t>
      </w:r>
      <w:r>
        <w:rPr>
          <w:rFonts w:hint="eastAsia" w:ascii="仿宋" w:hAnsi="仿宋" w:eastAsia="仿宋"/>
          <w:szCs w:val="21"/>
          <w:u w:val="single"/>
        </w:rPr>
        <w:t xml:space="preserve">                                 </w:t>
      </w:r>
    </w:p>
    <w:p w14:paraId="69E2E0BC">
      <w:pPr>
        <w:spacing w:line="560" w:lineRule="exact"/>
        <w:ind w:firstLine="420" w:firstLineChars="200"/>
        <w:rPr>
          <w:rFonts w:ascii="仿宋" w:hAnsi="仿宋" w:eastAsia="仿宋"/>
          <w:szCs w:val="21"/>
        </w:rPr>
      </w:pPr>
      <w:r>
        <w:rPr>
          <w:rFonts w:hint="eastAsia" w:ascii="仿宋" w:hAnsi="仿宋" w:eastAsia="仿宋"/>
          <w:szCs w:val="21"/>
        </w:rPr>
        <w:t>二、作业内容：</w:t>
      </w:r>
      <w:r>
        <w:rPr>
          <w:rFonts w:hint="eastAsia" w:ascii="仿宋" w:hAnsi="仿宋" w:eastAsia="仿宋"/>
          <w:szCs w:val="21"/>
          <w:u w:val="single"/>
        </w:rPr>
        <w:t xml:space="preserve">                                 </w:t>
      </w:r>
    </w:p>
    <w:p w14:paraId="1C382CF7">
      <w:pPr>
        <w:spacing w:line="560" w:lineRule="exact"/>
        <w:ind w:firstLine="420" w:firstLineChars="200"/>
        <w:rPr>
          <w:rFonts w:ascii="仿宋" w:hAnsi="仿宋" w:eastAsia="仿宋"/>
          <w:szCs w:val="21"/>
        </w:rPr>
      </w:pPr>
      <w:r>
        <w:rPr>
          <w:rFonts w:hint="eastAsia" w:ascii="仿宋" w:hAnsi="仿宋" w:eastAsia="仿宋"/>
          <w:szCs w:val="21"/>
        </w:rPr>
        <w:t>三、甲方的权利和责任</w:t>
      </w:r>
    </w:p>
    <w:p w14:paraId="57717A31">
      <w:pPr>
        <w:spacing w:line="560" w:lineRule="exact"/>
        <w:ind w:firstLine="420" w:firstLineChars="200"/>
        <w:rPr>
          <w:rFonts w:ascii="仿宋" w:hAnsi="仿宋" w:eastAsia="仿宋"/>
          <w:szCs w:val="21"/>
        </w:rPr>
      </w:pPr>
      <w:r>
        <w:rPr>
          <w:rFonts w:hint="eastAsia" w:ascii="仿宋" w:hAnsi="仿宋" w:eastAsia="仿宋"/>
          <w:szCs w:val="21"/>
        </w:rPr>
        <w:t>（一）甲方有权审查乙方的安全、技术、经营相关资质，有权调阅有关资料，向有关单位和人员了解情况。按照《安全生产法》的规定，有权对乙方的安全生产工作统一协调、管理。</w:t>
      </w:r>
    </w:p>
    <w:p w14:paraId="4B8BE122">
      <w:pPr>
        <w:spacing w:line="560" w:lineRule="exact"/>
        <w:ind w:firstLine="420" w:firstLineChars="200"/>
        <w:rPr>
          <w:rFonts w:ascii="仿宋" w:hAnsi="仿宋" w:eastAsia="仿宋"/>
          <w:szCs w:val="21"/>
        </w:rPr>
      </w:pPr>
      <w:r>
        <w:rPr>
          <w:rFonts w:hint="eastAsia" w:ascii="仿宋" w:hAnsi="仿宋" w:eastAsia="仿宋"/>
          <w:szCs w:val="21"/>
        </w:rPr>
        <w:t xml:space="preserve">（二）甲方有权随机督查乙方安全管理、安全培训、安全检查活动开展情况，向乙方传达上级有关安全环保卫生工作的文件及要求等，监督其传达学习与贯彻执行。 </w:t>
      </w:r>
    </w:p>
    <w:p w14:paraId="4D59AB77">
      <w:pPr>
        <w:spacing w:line="560" w:lineRule="exact"/>
        <w:ind w:firstLine="420" w:firstLineChars="200"/>
        <w:rPr>
          <w:rFonts w:ascii="仿宋" w:hAnsi="仿宋" w:eastAsia="仿宋"/>
          <w:szCs w:val="21"/>
        </w:rPr>
      </w:pPr>
      <w:r>
        <w:rPr>
          <w:rFonts w:hint="eastAsia" w:ascii="仿宋" w:hAnsi="仿宋" w:eastAsia="仿宋"/>
          <w:szCs w:val="21"/>
        </w:rPr>
        <w:t xml:space="preserve">（三）如果乙方在有危险性的区域内作业，存在可能引发火灾、爆炸、触电、高处坠落、中毒、窒息、机械伤害、烧烫伤等及容易引起人员伤害、设备事故的场所作业，甲方应事先将区域详细情况包括存在的风险以及公司相关规定要求对乙方项目负责人进行告知，乙方应定期组织召开工前安全技术交底，辨识场所安全风险，并针对性落实好相关安全防范措施和应急处置措施。 </w:t>
      </w:r>
    </w:p>
    <w:p w14:paraId="56AF00C4">
      <w:pPr>
        <w:spacing w:line="560" w:lineRule="exact"/>
        <w:ind w:firstLine="420" w:firstLineChars="200"/>
        <w:rPr>
          <w:rFonts w:ascii="仿宋" w:hAnsi="仿宋" w:eastAsia="仿宋"/>
          <w:szCs w:val="21"/>
        </w:rPr>
      </w:pPr>
      <w:r>
        <w:rPr>
          <w:rFonts w:hint="eastAsia" w:ascii="仿宋" w:hAnsi="仿宋" w:eastAsia="仿宋"/>
          <w:szCs w:val="21"/>
        </w:rPr>
        <w:t xml:space="preserve">（四）甲方可指派管理人员对乙方进行安全监督检查与协调，甲方有权对乙方在甲方现场作业时的各项安全措施进行检查，对现场存在的隐患提出整改，有权制止乙方违章行为，并根据甲方相关方安全管理相关规定对乙方违章行为进行处理。 </w:t>
      </w:r>
    </w:p>
    <w:p w14:paraId="24EC1D78">
      <w:pPr>
        <w:spacing w:line="560" w:lineRule="exact"/>
        <w:ind w:firstLine="420" w:firstLineChars="200"/>
        <w:rPr>
          <w:rFonts w:ascii="仿宋" w:hAnsi="仿宋" w:eastAsia="仿宋"/>
          <w:szCs w:val="21"/>
        </w:rPr>
      </w:pPr>
      <w:r>
        <w:rPr>
          <w:rFonts w:hint="eastAsia" w:ascii="仿宋" w:hAnsi="仿宋" w:eastAsia="仿宋"/>
          <w:szCs w:val="21"/>
        </w:rPr>
        <w:t>（五）对乙方严重违章且不听劝阻、不及时改正的，甲方有权责令乙方停业整顿，情节严重的可解除与乙方的业务合作关系，并有追究赔偿损失的一切权利，有权拒绝乙方有前科、劣迹人员入港。</w:t>
      </w:r>
    </w:p>
    <w:p w14:paraId="6B033F93">
      <w:pPr>
        <w:spacing w:line="560" w:lineRule="exact"/>
        <w:ind w:firstLine="420" w:firstLineChars="200"/>
        <w:rPr>
          <w:rFonts w:ascii="仿宋" w:hAnsi="仿宋" w:eastAsia="仿宋"/>
          <w:szCs w:val="21"/>
        </w:rPr>
      </w:pPr>
      <w:r>
        <w:rPr>
          <w:rFonts w:hint="eastAsia" w:ascii="仿宋" w:hAnsi="仿宋" w:eastAsia="仿宋"/>
          <w:szCs w:val="21"/>
        </w:rPr>
        <w:t xml:space="preserve">（六）甲方在上述（一）至（五）条款的安全管理履行情况，任何情况下，不得成为乙方减轻或免除乙方责任的理由，也不得成为甲方承担或分担安全方面责任的理由。 </w:t>
      </w:r>
    </w:p>
    <w:p w14:paraId="499B67FD">
      <w:pPr>
        <w:spacing w:line="560" w:lineRule="exact"/>
        <w:ind w:left="562"/>
        <w:rPr>
          <w:rFonts w:ascii="仿宋" w:hAnsi="仿宋" w:eastAsia="仿宋"/>
          <w:szCs w:val="21"/>
        </w:rPr>
      </w:pPr>
      <w:r>
        <w:rPr>
          <w:rFonts w:hint="eastAsia" w:ascii="仿宋" w:hAnsi="仿宋" w:eastAsia="仿宋"/>
          <w:szCs w:val="21"/>
        </w:rPr>
        <w:t>四、乙方的权利和责任</w:t>
      </w:r>
    </w:p>
    <w:p w14:paraId="0AA27AC9">
      <w:pPr>
        <w:spacing w:line="560" w:lineRule="exact"/>
        <w:ind w:firstLine="420" w:firstLineChars="200"/>
        <w:rPr>
          <w:rFonts w:ascii="仿宋" w:hAnsi="仿宋" w:eastAsia="仿宋"/>
          <w:szCs w:val="21"/>
        </w:rPr>
      </w:pPr>
      <w:r>
        <w:rPr>
          <w:rFonts w:hint="eastAsia" w:ascii="仿宋" w:hAnsi="仿宋" w:eastAsia="仿宋"/>
          <w:szCs w:val="21"/>
        </w:rPr>
        <w:t xml:space="preserve">（一）必须严格落实安全生产主体责任： </w:t>
      </w:r>
    </w:p>
    <w:p w14:paraId="567CD698">
      <w:pPr>
        <w:spacing w:line="560" w:lineRule="exact"/>
        <w:ind w:firstLine="420" w:firstLineChars="200"/>
        <w:rPr>
          <w:rFonts w:ascii="仿宋" w:hAnsi="仿宋" w:eastAsia="仿宋"/>
          <w:szCs w:val="21"/>
        </w:rPr>
      </w:pPr>
      <w:r>
        <w:rPr>
          <w:rFonts w:hint="eastAsia" w:ascii="仿宋" w:hAnsi="仿宋" w:eastAsia="仿宋"/>
          <w:szCs w:val="21"/>
        </w:rPr>
        <w:t>1.乙方必须具备相关行业经营、施工或服务资质，具备法律法规和国家标准、行业标准规定的安全生产条件。</w:t>
      </w:r>
    </w:p>
    <w:p w14:paraId="51E7BCDE">
      <w:pPr>
        <w:spacing w:line="560" w:lineRule="exact"/>
        <w:ind w:firstLine="420" w:firstLineChars="200"/>
        <w:rPr>
          <w:rFonts w:ascii="仿宋" w:hAnsi="仿宋" w:eastAsia="仿宋"/>
          <w:szCs w:val="21"/>
        </w:rPr>
      </w:pPr>
      <w:r>
        <w:rPr>
          <w:rFonts w:hint="eastAsia" w:ascii="仿宋" w:hAnsi="仿宋" w:eastAsia="仿宋"/>
          <w:szCs w:val="21"/>
        </w:rPr>
        <w:t xml:space="preserve">2.依法为从业人员提供合格有效的劳动防护用品，并监督、教育其正确佩戴和使用，根据疫情防控要求落实防护措施。 </w:t>
      </w:r>
    </w:p>
    <w:p w14:paraId="080AB7E6">
      <w:pPr>
        <w:spacing w:line="560" w:lineRule="exact"/>
        <w:ind w:firstLine="420" w:firstLineChars="200"/>
        <w:rPr>
          <w:rFonts w:ascii="仿宋" w:hAnsi="仿宋" w:eastAsia="仿宋"/>
          <w:szCs w:val="21"/>
        </w:rPr>
      </w:pPr>
      <w:r>
        <w:rPr>
          <w:rFonts w:hint="eastAsia" w:ascii="仿宋" w:hAnsi="仿宋" w:eastAsia="仿宋"/>
          <w:szCs w:val="21"/>
        </w:rPr>
        <w:t>3.必须依法确保安全资金投入满足安全生产条件需要；保证安全生产教育培训的资金和配备劳动保护用品的资金；乙方包括但不限于依法参加工伤保险，为从业人员缴纳人身保险、投保安全生产责任保险等。</w:t>
      </w:r>
    </w:p>
    <w:p w14:paraId="311325E1">
      <w:pPr>
        <w:spacing w:line="560" w:lineRule="exact"/>
        <w:ind w:firstLine="420" w:firstLineChars="200"/>
        <w:rPr>
          <w:rFonts w:ascii="仿宋" w:hAnsi="仿宋" w:eastAsia="仿宋"/>
          <w:szCs w:val="21"/>
        </w:rPr>
      </w:pPr>
      <w:r>
        <w:rPr>
          <w:rFonts w:hint="eastAsia" w:ascii="仿宋" w:hAnsi="仿宋" w:eastAsia="仿宋"/>
          <w:szCs w:val="21"/>
        </w:rPr>
        <w:t xml:space="preserve">4.根据规定配备专（兼）职安全生产管理人员。建立健全全员安全生产责任制、建立安全风险分级管控制度和各项规章制度、操作规程。 </w:t>
      </w:r>
    </w:p>
    <w:p w14:paraId="5D1DDB3F">
      <w:pPr>
        <w:spacing w:line="560" w:lineRule="exact"/>
        <w:ind w:firstLine="420" w:firstLineChars="200"/>
        <w:rPr>
          <w:rFonts w:ascii="仿宋" w:hAnsi="仿宋" w:eastAsia="仿宋"/>
          <w:szCs w:val="21"/>
        </w:rPr>
      </w:pPr>
      <w:r>
        <w:rPr>
          <w:rFonts w:hint="eastAsia" w:ascii="仿宋" w:hAnsi="仿宋" w:eastAsia="仿宋"/>
          <w:szCs w:val="21"/>
        </w:rPr>
        <w:t>5.开展安全生产宣传教育，依法组织从业人员参加安全生产教育培训，根据国家相关规定必须取得相应上岗资格证书的应提供相应上岗资格证书方可上岗作业；涉及到特种作业的，应报甲方安全管理部门登记，作业人员必须持有效特种作业操作资格证方可上岗作业。乙方在从事生产经营过程中所使用的机械、车辆必须符合国家相关要求，并取得相应的运营资格证书。</w:t>
      </w:r>
    </w:p>
    <w:p w14:paraId="69E00B15">
      <w:pPr>
        <w:spacing w:line="560" w:lineRule="exact"/>
        <w:ind w:firstLine="420" w:firstLineChars="200"/>
        <w:rPr>
          <w:rFonts w:ascii="仿宋" w:hAnsi="仿宋" w:eastAsia="仿宋"/>
          <w:szCs w:val="21"/>
        </w:rPr>
      </w:pPr>
      <w:r>
        <w:rPr>
          <w:rFonts w:hint="eastAsia" w:ascii="仿宋" w:hAnsi="仿宋" w:eastAsia="仿宋"/>
          <w:szCs w:val="21"/>
        </w:rPr>
        <w:t xml:space="preserve">6.依法组织开展安全生产管理活动，定期组织开展安全生产检查并做好记录，及时消除事故隐患、改善作业环境。按照安全风险分级采取相应的管控措施。 </w:t>
      </w:r>
    </w:p>
    <w:p w14:paraId="1FF84DB1">
      <w:pPr>
        <w:spacing w:line="560" w:lineRule="exact"/>
        <w:ind w:firstLine="420" w:firstLineChars="200"/>
        <w:rPr>
          <w:rFonts w:ascii="仿宋" w:hAnsi="仿宋" w:eastAsia="仿宋"/>
          <w:szCs w:val="21"/>
        </w:rPr>
      </w:pPr>
      <w:r>
        <w:rPr>
          <w:rFonts w:hint="eastAsia" w:ascii="仿宋" w:hAnsi="仿宋" w:eastAsia="仿宋"/>
          <w:szCs w:val="21"/>
        </w:rPr>
        <w:t xml:space="preserve">7.按规定报告生产安全事故、环保卫生事件，及时开展事故抢险救援，并妥善处理事故善后，无条件配合政府部门调查工作，发现存在事故隐患（不安全因素）应及时报告港区管理部门。 </w:t>
      </w:r>
    </w:p>
    <w:p w14:paraId="2364C99A">
      <w:pPr>
        <w:spacing w:line="560" w:lineRule="exact"/>
        <w:ind w:firstLine="420" w:firstLineChars="200"/>
        <w:rPr>
          <w:rFonts w:ascii="仿宋" w:hAnsi="仿宋" w:eastAsia="仿宋"/>
          <w:szCs w:val="21"/>
        </w:rPr>
      </w:pPr>
      <w:r>
        <w:rPr>
          <w:rFonts w:hint="eastAsia" w:ascii="仿宋" w:hAnsi="仿宋" w:eastAsia="仿宋"/>
          <w:szCs w:val="21"/>
        </w:rPr>
        <w:t xml:space="preserve">8.落实国家法律法规、规章制度规定的其他安全生产责任。 </w:t>
      </w:r>
    </w:p>
    <w:p w14:paraId="4428CB2A">
      <w:pPr>
        <w:spacing w:line="560" w:lineRule="exact"/>
        <w:ind w:firstLine="420" w:firstLineChars="200"/>
        <w:rPr>
          <w:rFonts w:ascii="仿宋" w:hAnsi="仿宋" w:eastAsia="仿宋"/>
          <w:szCs w:val="21"/>
        </w:rPr>
      </w:pPr>
      <w:r>
        <w:rPr>
          <w:rFonts w:hint="eastAsia" w:ascii="仿宋" w:hAnsi="仿宋" w:eastAsia="仿宋"/>
          <w:szCs w:val="21"/>
        </w:rPr>
        <w:t>（二）乙方的作业人员在甲方港区从事作业活动时，应严格遵守甲方港区的有关安全生产的规章制度。要求作业人员服从港区有关安全管理人员的监督、管理。在进入甲方现场作业、服务或施工前，要对作业人员进行针对性安全技术培训，使其掌握作业特点、安全注意事项和安全应急措施等。</w:t>
      </w:r>
    </w:p>
    <w:p w14:paraId="5C2E6BBE">
      <w:pPr>
        <w:spacing w:line="560" w:lineRule="exact"/>
        <w:ind w:firstLine="420" w:firstLineChars="200"/>
        <w:rPr>
          <w:rFonts w:ascii="仿宋" w:hAnsi="仿宋" w:eastAsia="仿宋"/>
          <w:szCs w:val="21"/>
        </w:rPr>
      </w:pPr>
      <w:r>
        <w:rPr>
          <w:rFonts w:hint="eastAsia" w:ascii="仿宋" w:hAnsi="仿宋" w:eastAsia="仿宋"/>
          <w:szCs w:val="21"/>
        </w:rPr>
        <w:t>（三）复杂的和危险性较大的作业或施工项目，应在方案中明确该项目的现场安全管理人员、指挥人员、作业人员数量，各岗位的安全职责，作业的流程，以及作业的安全防范措施和应急处置措施，必须符合国家相关安全法律法规要求。应对作业或施工项目进行危险源辨识，分析存在的安全风险，并针对性制定相应的安全防范措施和应急处置措施，并对所有参与作业人员进行宣贯，严格落实到位。甲方应对该项目的安全防护措施和应急处置措施落实情况进行监督检查。乙方进行高处作业、有限空间作业、临时用电、临时动火、临水作业等危险作业，必须报相关方归口部门审核并经甲方安全管理部门批准后方可作业，作业现场必须安排专人监管，并落实必要的安全防护措施。</w:t>
      </w:r>
    </w:p>
    <w:p w14:paraId="33490B1C">
      <w:pPr>
        <w:spacing w:line="560" w:lineRule="exact"/>
        <w:ind w:firstLine="420" w:firstLineChars="200"/>
        <w:rPr>
          <w:rFonts w:ascii="仿宋" w:hAnsi="仿宋" w:eastAsia="仿宋"/>
          <w:szCs w:val="21"/>
        </w:rPr>
      </w:pPr>
      <w:r>
        <w:rPr>
          <w:rFonts w:hint="eastAsia" w:ascii="仿宋" w:hAnsi="仿宋" w:eastAsia="仿宋"/>
          <w:szCs w:val="21"/>
        </w:rPr>
        <w:t>（四）乙方的作业人员在进入港区生产区域时，应穿戴好安全帽、反光衣，不准穿拖鞋、高跟鞋；不准在港区乱停车辆（包括自行车），应遵守港区道路交通管理有关规定。严禁酒后进入港区作业，严禁带与生产无关人员进入港区；除指定位置外，未经同意司机及随从人员禁止在码头、堆场、道路等区域下车；乙方同时要根据甲方环保卫生工作要求，做好港区环境卫生，避免出现污染港区环境事件，如有影响港区环保卫生的要及时采取措施。</w:t>
      </w:r>
    </w:p>
    <w:p w14:paraId="6036EA75">
      <w:pPr>
        <w:spacing w:line="560" w:lineRule="exact"/>
        <w:ind w:firstLine="420" w:firstLineChars="200"/>
        <w:rPr>
          <w:rFonts w:ascii="仿宋" w:hAnsi="仿宋" w:eastAsia="仿宋"/>
          <w:szCs w:val="21"/>
        </w:rPr>
      </w:pPr>
      <w:r>
        <w:rPr>
          <w:rFonts w:hint="eastAsia" w:ascii="仿宋" w:hAnsi="仿宋" w:eastAsia="仿宋"/>
          <w:szCs w:val="21"/>
        </w:rPr>
        <w:t>（五）乙方的作业人员在进入港区后，在指定位置、区域内活动，严禁擅自进入与乙方业务不相关的作业区域，若有需要进入该区域，必须提前和甲方进行协商，经同意并确认安全的情况下进入该区域进行监管作业；严禁在生产区域及禁止区域内吸烟，严禁未经审批擅自明火作业；港区消防设施、电源开关的周边地点不准乱堆货物及发生堵塞情况；港区消防器材不准移动，非紧急情况不得使用。易燃易爆物品必须报甲方安全管理部门（安全专职人员）批准进港，严格按照国家相关规定进行储存和使用。</w:t>
      </w:r>
    </w:p>
    <w:p w14:paraId="6C42275E">
      <w:pPr>
        <w:spacing w:line="560" w:lineRule="exact"/>
        <w:ind w:firstLine="420" w:firstLineChars="200"/>
        <w:rPr>
          <w:rFonts w:ascii="仿宋" w:hAnsi="仿宋" w:eastAsia="仿宋"/>
          <w:szCs w:val="21"/>
        </w:rPr>
      </w:pPr>
      <w:r>
        <w:rPr>
          <w:rFonts w:hint="eastAsia" w:ascii="仿宋" w:hAnsi="仿宋" w:eastAsia="仿宋"/>
          <w:szCs w:val="21"/>
        </w:rPr>
        <w:t>（六）乙方在作业时，必须落实专人负责监管作业，高空作业必须带好安全带（2米以上）；严禁超负荷作业；严禁人机混合作业；严禁不文明作业；严禁进入港区机械设备的作业范围，不准站在吊臂下、关路上，不准乱动港区机械设备、电器设施；作业时要注意避让周边的机械和车辆，车辆随车人员严禁下车；严禁非作业人员参与作业，否则一切后果自负。</w:t>
      </w:r>
    </w:p>
    <w:p w14:paraId="72115E5E">
      <w:pPr>
        <w:spacing w:line="560" w:lineRule="exact"/>
        <w:ind w:firstLine="420" w:firstLineChars="200"/>
        <w:rPr>
          <w:rFonts w:ascii="仿宋" w:hAnsi="仿宋" w:eastAsia="仿宋"/>
          <w:szCs w:val="21"/>
        </w:rPr>
      </w:pPr>
      <w:r>
        <w:rPr>
          <w:rFonts w:hint="eastAsia" w:ascii="仿宋" w:hAnsi="仿宋" w:eastAsia="仿宋"/>
          <w:szCs w:val="21"/>
        </w:rPr>
        <w:t>（七）乙方必须严格遵守甲方制定的相关方安全管理规定及其他相关安全管理规定。乙方在作业时，要服从港区安全生产人员的管理与监督，遵守港区各项规章制度。违反港区安全管理规定，港区有权处理。乙方必须遵守港区安保防盗等管理规定，如有违反港区防盗安保规定的，一经查实，一切后果由乙方承担。</w:t>
      </w:r>
    </w:p>
    <w:p w14:paraId="3A518B9F">
      <w:pPr>
        <w:spacing w:line="560" w:lineRule="exact"/>
        <w:ind w:firstLine="420" w:firstLineChars="200"/>
        <w:rPr>
          <w:rFonts w:ascii="仿宋" w:hAnsi="仿宋" w:eastAsia="仿宋"/>
          <w:szCs w:val="21"/>
        </w:rPr>
      </w:pPr>
      <w:r>
        <w:rPr>
          <w:rFonts w:hint="eastAsia" w:ascii="仿宋" w:hAnsi="仿宋" w:eastAsia="仿宋"/>
          <w:szCs w:val="21"/>
        </w:rPr>
        <w:t xml:space="preserve">（八）乙方进入甲方单位前，应根据甲方要求办理临时出入证，所有进港作业人员自觉佩戴，出入自觉接受门卫检查。乙方在非工作时间进入甲方场所，应事先说明原因，在甲方公司西大门门岗处办理登记手续并由相关方业务归口管理部门引领，方可进港。  </w:t>
      </w:r>
    </w:p>
    <w:p w14:paraId="35A7D20E">
      <w:pPr>
        <w:spacing w:line="560" w:lineRule="exact"/>
        <w:ind w:firstLine="420" w:firstLineChars="200"/>
        <w:rPr>
          <w:rFonts w:ascii="仿宋" w:hAnsi="仿宋" w:eastAsia="仿宋"/>
          <w:szCs w:val="21"/>
        </w:rPr>
      </w:pPr>
      <w:r>
        <w:rPr>
          <w:rFonts w:hint="eastAsia" w:ascii="仿宋" w:hAnsi="仿宋" w:eastAsia="仿宋"/>
          <w:szCs w:val="21"/>
        </w:rPr>
        <w:t>（九）乙方的车辆、设备、人员（包括其他雇佣的相关人员与车辆）的安全管理由乙方自行负责；若因乙方未尽到管理责任而使乙方的车辆、设备等财产或人员（包括其他雇佣的相关人员与车辆）在甲方生产区域内发生一切安全事故、货损等事故的，概由乙方负责并承担损害赔偿责任，与甲方无关。因乙方原因造成甲方或第三方人身、财产等事故的，概由乙方负责并承担损害赔偿责任。</w:t>
      </w:r>
    </w:p>
    <w:p w14:paraId="0CCE1FA6">
      <w:pPr>
        <w:spacing w:line="560" w:lineRule="exact"/>
        <w:ind w:firstLine="420" w:firstLineChars="200"/>
        <w:rPr>
          <w:rFonts w:ascii="仿宋" w:hAnsi="仿宋" w:eastAsia="仿宋"/>
          <w:szCs w:val="21"/>
        </w:rPr>
      </w:pPr>
      <w:r>
        <w:rPr>
          <w:rFonts w:hint="eastAsia" w:ascii="仿宋" w:hAnsi="仿宋" w:eastAsia="仿宋"/>
          <w:szCs w:val="21"/>
        </w:rPr>
        <w:t>（十）车辆司机因生产需要进入生产区，根据业务类别不同，由归口部门指定位置、划定活动区域，非必要不下车，除紧急避险外集卡司机禁止下车。乙方要密切关注甲方在现场、门岗、网络、电话等方式的管理通告，并严格遵守相关内容。</w:t>
      </w:r>
    </w:p>
    <w:p w14:paraId="7AC168DD">
      <w:pPr>
        <w:pStyle w:val="82"/>
        <w:adjustRightInd w:val="0"/>
        <w:snapToGrid w:val="0"/>
        <w:spacing w:line="500" w:lineRule="exact"/>
        <w:ind w:firstLine="420" w:firstLineChars="200"/>
        <w:rPr>
          <w:rFonts w:ascii="仿宋" w:hAnsi="仿宋" w:eastAsia="仿宋"/>
          <w:highlight w:val="yellow"/>
        </w:rPr>
      </w:pPr>
      <w:r>
        <w:rPr>
          <w:rFonts w:hint="eastAsia" w:ascii="仿宋" w:hAnsi="仿宋" w:eastAsia="仿宋"/>
        </w:rPr>
        <w:t>五、甲乙双方签有业务合同且有履约保证金或业务质保金约定的，双方同意该履约保证金或业务质保金同时作为乙方安全生产违章、事故处理时使用，或乙方至甲方财务部以现金、电子等方式缴纳。</w:t>
      </w:r>
    </w:p>
    <w:p w14:paraId="280196D3">
      <w:pPr>
        <w:spacing w:line="560" w:lineRule="exact"/>
        <w:ind w:firstLine="420" w:firstLineChars="200"/>
        <w:rPr>
          <w:rFonts w:ascii="仿宋" w:hAnsi="仿宋" w:eastAsia="仿宋"/>
          <w:szCs w:val="21"/>
        </w:rPr>
      </w:pPr>
      <w:r>
        <w:rPr>
          <w:rFonts w:hint="eastAsia" w:ascii="仿宋" w:hAnsi="仿宋" w:eastAsia="仿宋"/>
          <w:szCs w:val="21"/>
        </w:rPr>
        <w:t>六、本协议有效期与业务合同一致，如无具体业务合同的，在签署当年有效。为保持本协议延续性，双方同意在协议到期后，新协议尚未签署期间，协议约定依然有效。</w:t>
      </w:r>
    </w:p>
    <w:p w14:paraId="68827C63">
      <w:pPr>
        <w:spacing w:line="560" w:lineRule="exact"/>
        <w:ind w:firstLine="420" w:firstLineChars="200"/>
        <w:rPr>
          <w:rFonts w:ascii="仿宋" w:hAnsi="仿宋" w:eastAsia="仿宋"/>
          <w:szCs w:val="21"/>
        </w:rPr>
      </w:pPr>
      <w:r>
        <w:rPr>
          <w:rFonts w:hint="eastAsia" w:ascii="仿宋" w:hAnsi="仿宋" w:eastAsia="仿宋"/>
          <w:szCs w:val="21"/>
        </w:rPr>
        <w:t>七、在执行本协议过程中产生的或与本协议有关的争议及分歧，双方应通过友好协商解决，无法达成共识时，争议解决方式与主合同保持一致。</w:t>
      </w:r>
    </w:p>
    <w:p w14:paraId="365AA867">
      <w:pPr>
        <w:spacing w:line="560" w:lineRule="exact"/>
        <w:ind w:firstLine="420" w:firstLineChars="200"/>
        <w:rPr>
          <w:rFonts w:ascii="仿宋" w:hAnsi="仿宋" w:eastAsia="仿宋"/>
          <w:szCs w:val="21"/>
        </w:rPr>
      </w:pPr>
      <w:r>
        <w:rPr>
          <w:rFonts w:hint="eastAsia" w:ascii="仿宋" w:hAnsi="仿宋" w:eastAsia="仿宋"/>
          <w:szCs w:val="21"/>
        </w:rPr>
        <w:t>八、本协议一式二份，甲、乙双方各执一份，自双方签字盖章后生效。</w:t>
      </w:r>
    </w:p>
    <w:p w14:paraId="57BFDE4A">
      <w:pPr>
        <w:spacing w:line="560" w:lineRule="exact"/>
        <w:ind w:firstLine="420" w:firstLineChars="200"/>
        <w:rPr>
          <w:rFonts w:ascii="仿宋" w:hAnsi="仿宋" w:eastAsia="仿宋"/>
          <w:szCs w:val="21"/>
        </w:rPr>
      </w:pPr>
      <w:r>
        <w:rPr>
          <w:rFonts w:hint="eastAsia" w:ascii="仿宋" w:hAnsi="仿宋" w:eastAsia="仿宋"/>
          <w:szCs w:val="21"/>
        </w:rPr>
        <w:t xml:space="preserve"> </w:t>
      </w:r>
    </w:p>
    <w:p w14:paraId="7C4105C8">
      <w:pPr>
        <w:spacing w:line="560" w:lineRule="exact"/>
        <w:ind w:firstLine="420" w:firstLineChars="200"/>
        <w:rPr>
          <w:rFonts w:ascii="仿宋" w:hAnsi="仿宋" w:eastAsia="仿宋"/>
          <w:szCs w:val="21"/>
        </w:rPr>
      </w:pPr>
      <w:r>
        <w:rPr>
          <w:rFonts w:hint="eastAsia" w:ascii="仿宋" w:hAnsi="仿宋" w:eastAsia="仿宋"/>
          <w:szCs w:val="21"/>
        </w:rPr>
        <w:t xml:space="preserve"> </w:t>
      </w:r>
    </w:p>
    <w:p w14:paraId="7924F568">
      <w:pPr>
        <w:spacing w:line="560" w:lineRule="exact"/>
        <w:rPr>
          <w:rFonts w:ascii="仿宋" w:hAnsi="仿宋" w:eastAsia="仿宋"/>
          <w:szCs w:val="21"/>
        </w:rPr>
      </w:pPr>
      <w:r>
        <w:rPr>
          <w:rFonts w:hint="eastAsia" w:ascii="仿宋" w:hAnsi="仿宋" w:eastAsia="仿宋"/>
          <w:szCs w:val="21"/>
        </w:rPr>
        <w:t>甲方：（盖章）                    乙方：（盖章）</w:t>
      </w:r>
    </w:p>
    <w:p w14:paraId="1E033955">
      <w:pPr>
        <w:spacing w:line="560" w:lineRule="exact"/>
        <w:rPr>
          <w:rFonts w:ascii="仿宋" w:hAnsi="仿宋" w:eastAsia="仿宋"/>
          <w:szCs w:val="21"/>
        </w:rPr>
      </w:pPr>
      <w:r>
        <w:rPr>
          <w:rFonts w:hint="eastAsia" w:ascii="仿宋" w:hAnsi="仿宋" w:eastAsia="仿宋"/>
          <w:szCs w:val="21"/>
        </w:rPr>
        <w:t>甲方代表（签字）：                乙方代表（签字）：</w:t>
      </w:r>
    </w:p>
    <w:p w14:paraId="1DA95641">
      <w:pPr>
        <w:spacing w:line="560" w:lineRule="exact"/>
        <w:rPr>
          <w:rFonts w:ascii="仿宋" w:hAnsi="仿宋" w:eastAsia="仿宋"/>
          <w:szCs w:val="21"/>
        </w:rPr>
      </w:pPr>
      <w:r>
        <w:rPr>
          <w:rFonts w:hint="eastAsia" w:ascii="仿宋" w:hAnsi="仿宋" w:eastAsia="仿宋"/>
          <w:szCs w:val="21"/>
        </w:rPr>
        <w:t>联系电话：                       联系电话：</w:t>
      </w:r>
    </w:p>
    <w:p w14:paraId="27860755">
      <w:pPr>
        <w:snapToGrid w:val="0"/>
        <w:spacing w:line="560" w:lineRule="exact"/>
        <w:jc w:val="right"/>
        <w:rPr>
          <w:rFonts w:ascii="仿宋" w:hAnsi="仿宋" w:eastAsia="仿宋"/>
          <w:szCs w:val="21"/>
        </w:rPr>
      </w:pPr>
      <w:r>
        <w:rPr>
          <w:rFonts w:hint="eastAsia" w:ascii="仿宋" w:hAnsi="仿宋" w:eastAsia="仿宋"/>
          <w:szCs w:val="21"/>
        </w:rPr>
        <w:t xml:space="preserve">    年    月    日</w:t>
      </w:r>
    </w:p>
    <w:p w14:paraId="6A808137">
      <w:pPr>
        <w:snapToGrid w:val="0"/>
        <w:spacing w:line="560" w:lineRule="exact"/>
        <w:ind w:right="280"/>
        <w:jc w:val="left"/>
        <w:rPr>
          <w:rFonts w:ascii="仿宋" w:hAnsi="仿宋" w:eastAsia="仿宋"/>
          <w:szCs w:val="21"/>
        </w:rPr>
      </w:pPr>
      <w:r>
        <w:rPr>
          <w:rFonts w:hint="eastAsia" w:ascii="仿宋" w:hAnsi="仿宋" w:eastAsia="仿宋"/>
          <w:szCs w:val="21"/>
        </w:rPr>
        <w:t xml:space="preserve"> </w:t>
      </w:r>
    </w:p>
    <w:p w14:paraId="37C9507D">
      <w:pPr>
        <w:snapToGrid w:val="0"/>
        <w:spacing w:line="560" w:lineRule="exact"/>
        <w:ind w:right="280"/>
        <w:jc w:val="left"/>
        <w:rPr>
          <w:rFonts w:ascii="仿宋" w:hAnsi="仿宋" w:eastAsia="仿宋"/>
          <w:szCs w:val="21"/>
        </w:rPr>
      </w:pPr>
      <w:r>
        <w:rPr>
          <w:rFonts w:hint="eastAsia" w:ascii="仿宋" w:hAnsi="仿宋" w:eastAsia="仿宋"/>
          <w:szCs w:val="21"/>
        </w:rPr>
        <w:t xml:space="preserve"> </w:t>
      </w:r>
    </w:p>
    <w:p w14:paraId="59AC05CC">
      <w:pPr>
        <w:snapToGrid w:val="0"/>
        <w:spacing w:line="560" w:lineRule="exact"/>
        <w:ind w:right="280"/>
        <w:jc w:val="left"/>
        <w:rPr>
          <w:rFonts w:ascii="仿宋" w:hAnsi="仿宋" w:eastAsia="仿宋"/>
          <w:szCs w:val="21"/>
        </w:rPr>
      </w:pPr>
      <w:r>
        <w:rPr>
          <w:rFonts w:hint="eastAsia" w:ascii="仿宋" w:hAnsi="仿宋" w:eastAsia="仿宋"/>
          <w:szCs w:val="21"/>
        </w:rPr>
        <w:t xml:space="preserve"> </w:t>
      </w:r>
    </w:p>
    <w:p w14:paraId="20FE895C">
      <w:pPr>
        <w:snapToGrid w:val="0"/>
        <w:spacing w:line="560" w:lineRule="exact"/>
        <w:ind w:right="280"/>
        <w:jc w:val="left"/>
        <w:rPr>
          <w:rFonts w:ascii="仿宋" w:hAnsi="仿宋" w:eastAsia="仿宋"/>
          <w:szCs w:val="21"/>
        </w:rPr>
      </w:pPr>
      <w:r>
        <w:rPr>
          <w:rFonts w:hint="eastAsia" w:ascii="仿宋" w:hAnsi="仿宋" w:eastAsia="仿宋"/>
          <w:szCs w:val="21"/>
        </w:rPr>
        <w:t xml:space="preserve"> </w:t>
      </w:r>
    </w:p>
    <w:p w14:paraId="6F2ECA40">
      <w:pPr>
        <w:snapToGrid w:val="0"/>
        <w:spacing w:line="560" w:lineRule="exact"/>
        <w:ind w:right="280"/>
        <w:jc w:val="left"/>
        <w:rPr>
          <w:rFonts w:ascii="仿宋" w:hAnsi="仿宋" w:eastAsia="仿宋"/>
          <w:szCs w:val="21"/>
        </w:rPr>
      </w:pPr>
      <w:r>
        <w:rPr>
          <w:rFonts w:hint="eastAsia" w:ascii="仿宋" w:hAnsi="仿宋" w:eastAsia="仿宋"/>
          <w:szCs w:val="21"/>
        </w:rPr>
        <w:t xml:space="preserve"> </w:t>
      </w:r>
    </w:p>
    <w:p w14:paraId="238CC72D">
      <w:pPr>
        <w:snapToGrid w:val="0"/>
        <w:spacing w:line="560" w:lineRule="exact"/>
        <w:ind w:right="280"/>
        <w:jc w:val="left"/>
        <w:rPr>
          <w:rFonts w:ascii="仿宋" w:hAnsi="仿宋" w:eastAsia="仿宋"/>
          <w:szCs w:val="21"/>
        </w:rPr>
      </w:pPr>
      <w:r>
        <w:rPr>
          <w:rFonts w:hint="eastAsia" w:ascii="仿宋" w:hAnsi="仿宋" w:eastAsia="仿宋"/>
          <w:szCs w:val="21"/>
        </w:rPr>
        <w:t xml:space="preserve"> </w:t>
      </w:r>
    </w:p>
    <w:p w14:paraId="049C3D16">
      <w:pPr>
        <w:snapToGrid w:val="0"/>
        <w:spacing w:line="560" w:lineRule="exact"/>
        <w:ind w:right="280"/>
        <w:jc w:val="left"/>
        <w:rPr>
          <w:rFonts w:ascii="仿宋" w:hAnsi="仿宋" w:eastAsia="仿宋"/>
          <w:szCs w:val="21"/>
        </w:rPr>
      </w:pPr>
      <w:r>
        <w:rPr>
          <w:rFonts w:hint="eastAsia" w:ascii="仿宋" w:hAnsi="仿宋" w:eastAsia="仿宋"/>
          <w:szCs w:val="21"/>
        </w:rPr>
        <w:t xml:space="preserve"> </w:t>
      </w:r>
    </w:p>
    <w:p w14:paraId="4BC18514">
      <w:pPr>
        <w:snapToGrid w:val="0"/>
        <w:spacing w:line="560" w:lineRule="exact"/>
        <w:ind w:right="280"/>
        <w:jc w:val="left"/>
        <w:rPr>
          <w:rFonts w:ascii="仿宋" w:hAnsi="仿宋" w:eastAsia="仿宋"/>
          <w:szCs w:val="21"/>
        </w:rPr>
      </w:pPr>
      <w:r>
        <w:rPr>
          <w:rFonts w:hint="eastAsia" w:ascii="仿宋" w:hAnsi="仿宋" w:eastAsia="仿宋"/>
          <w:szCs w:val="21"/>
        </w:rPr>
        <w:t xml:space="preserve"> </w:t>
      </w:r>
    </w:p>
    <w:p w14:paraId="0499E406">
      <w:pPr>
        <w:snapToGrid w:val="0"/>
        <w:spacing w:line="560" w:lineRule="exact"/>
        <w:ind w:right="280"/>
        <w:jc w:val="left"/>
        <w:rPr>
          <w:rFonts w:ascii="仿宋" w:hAnsi="仿宋" w:eastAsia="仿宋"/>
          <w:szCs w:val="21"/>
        </w:rPr>
      </w:pPr>
      <w:r>
        <w:rPr>
          <w:rFonts w:hint="eastAsia" w:ascii="仿宋" w:hAnsi="仿宋" w:eastAsia="仿宋"/>
          <w:szCs w:val="21"/>
        </w:rPr>
        <w:t xml:space="preserve"> </w:t>
      </w:r>
    </w:p>
    <w:p w14:paraId="76C0B58C">
      <w:pPr>
        <w:snapToGrid w:val="0"/>
        <w:spacing w:line="560" w:lineRule="exact"/>
        <w:ind w:right="280"/>
        <w:jc w:val="left"/>
        <w:rPr>
          <w:rFonts w:ascii="仿宋" w:hAnsi="仿宋" w:eastAsia="仿宋"/>
          <w:szCs w:val="21"/>
        </w:rPr>
      </w:pPr>
      <w:r>
        <w:rPr>
          <w:rFonts w:hint="eastAsia" w:ascii="仿宋" w:hAnsi="仿宋" w:eastAsia="仿宋"/>
          <w:szCs w:val="21"/>
        </w:rPr>
        <w:t xml:space="preserve"> </w:t>
      </w:r>
    </w:p>
    <w:p w14:paraId="7126708E">
      <w:pPr>
        <w:pStyle w:val="10"/>
        <w:ind w:left="0" w:leftChars="0"/>
        <w:rPr>
          <w:szCs w:val="21"/>
        </w:rPr>
      </w:pPr>
      <w:r>
        <w:rPr>
          <w:rFonts w:hint="eastAsia" w:ascii="仿宋" w:hAnsi="仿宋" w:eastAsia="仿宋"/>
          <w:szCs w:val="21"/>
        </w:rPr>
        <w:t xml:space="preserve"> </w:t>
      </w:r>
    </w:p>
    <w:p w14:paraId="1EECCB41">
      <w:pPr>
        <w:rPr>
          <w:rFonts w:ascii="宋体" w:hAnsi="宋体"/>
          <w:b/>
          <w:szCs w:val="21"/>
        </w:rPr>
      </w:pPr>
      <w:r>
        <w:rPr>
          <w:rFonts w:hint="eastAsia" w:ascii="宋体" w:hAnsi="宋体"/>
          <w:b/>
          <w:szCs w:val="21"/>
        </w:rPr>
        <w:br w:type="page"/>
      </w:r>
    </w:p>
    <w:p w14:paraId="7C808701">
      <w:pPr>
        <w:autoSpaceDE w:val="0"/>
        <w:autoSpaceDN w:val="0"/>
        <w:spacing w:line="500" w:lineRule="exact"/>
        <w:rPr>
          <w:rFonts w:ascii="宋体" w:hAnsi="宋体"/>
          <w:b/>
          <w:szCs w:val="21"/>
        </w:rPr>
      </w:pPr>
      <w:r>
        <w:rPr>
          <w:rFonts w:hint="eastAsia" w:ascii="宋体" w:hAnsi="宋体"/>
          <w:b/>
          <w:szCs w:val="21"/>
        </w:rPr>
        <w:t>附件</w:t>
      </w:r>
      <w:r>
        <w:rPr>
          <w:rFonts w:hint="eastAsia" w:ascii="宋体" w:hAnsi="宋体"/>
          <w:b/>
          <w:szCs w:val="21"/>
          <w:lang w:val="en-US" w:eastAsia="zh-CN"/>
        </w:rPr>
        <w:t>7</w:t>
      </w:r>
      <w:r>
        <w:rPr>
          <w:rFonts w:hint="eastAsia" w:ascii="宋体" w:hAnsi="宋体"/>
          <w:b/>
          <w:szCs w:val="21"/>
        </w:rPr>
        <w:t>：</w:t>
      </w:r>
    </w:p>
    <w:p w14:paraId="2EDA01CF">
      <w:pPr>
        <w:autoSpaceDE w:val="0"/>
        <w:autoSpaceDN w:val="0"/>
        <w:spacing w:line="500" w:lineRule="exact"/>
        <w:jc w:val="center"/>
        <w:rPr>
          <w:rFonts w:ascii="仿宋" w:hAnsi="仿宋" w:eastAsia="仿宋"/>
          <w:b/>
          <w:bCs/>
          <w:szCs w:val="21"/>
        </w:rPr>
      </w:pPr>
      <w:r>
        <w:rPr>
          <w:rFonts w:hint="eastAsia" w:ascii="仿宋" w:hAnsi="仿宋" w:eastAsia="仿宋"/>
          <w:b/>
          <w:bCs/>
          <w:szCs w:val="21"/>
        </w:rPr>
        <w:t>相关方环境保护管理协议</w:t>
      </w:r>
    </w:p>
    <w:p w14:paraId="5C2FB120">
      <w:pPr>
        <w:pStyle w:val="82"/>
        <w:adjustRightInd w:val="0"/>
        <w:snapToGrid w:val="0"/>
        <w:spacing w:line="500" w:lineRule="exact"/>
        <w:rPr>
          <w:rFonts w:ascii="仿宋" w:hAnsi="仿宋" w:eastAsia="仿宋"/>
        </w:rPr>
      </w:pPr>
      <w:r>
        <w:rPr>
          <w:rFonts w:hint="eastAsia" w:ascii="仿宋" w:hAnsi="仿宋" w:eastAsia="仿宋"/>
        </w:rPr>
        <w:t xml:space="preserve">甲方：温州金洋集装箱码头有限公司（以下简称甲方） </w:t>
      </w:r>
    </w:p>
    <w:p w14:paraId="115B0F63">
      <w:pPr>
        <w:pStyle w:val="82"/>
        <w:adjustRightInd w:val="0"/>
        <w:snapToGrid w:val="0"/>
        <w:spacing w:line="500" w:lineRule="exact"/>
        <w:rPr>
          <w:rFonts w:ascii="仿宋" w:hAnsi="仿宋" w:eastAsia="仿宋"/>
        </w:rPr>
      </w:pPr>
      <w:r>
        <w:rPr>
          <w:rFonts w:hint="eastAsia" w:ascii="仿宋" w:hAnsi="仿宋" w:eastAsia="仿宋"/>
        </w:rPr>
        <w:t>乙方：</w:t>
      </w:r>
      <w:r>
        <w:rPr>
          <w:rFonts w:hint="eastAsia" w:ascii="仿宋" w:hAnsi="仿宋" w:eastAsia="仿宋"/>
        </w:rPr>
        <w:tab/>
      </w:r>
      <w:r>
        <w:rPr>
          <w:rFonts w:hint="eastAsia" w:ascii="仿宋" w:hAnsi="仿宋" w:eastAsia="仿宋"/>
        </w:rPr>
        <w:t xml:space="preserve">                       （以下简称乙方）</w:t>
      </w:r>
    </w:p>
    <w:p w14:paraId="0D3E991E">
      <w:pPr>
        <w:pStyle w:val="82"/>
        <w:adjustRightInd w:val="0"/>
        <w:snapToGrid w:val="0"/>
        <w:spacing w:line="500" w:lineRule="exact"/>
        <w:ind w:firstLine="420" w:firstLineChars="200"/>
        <w:rPr>
          <w:rFonts w:ascii="仿宋" w:hAnsi="仿宋" w:eastAsia="仿宋"/>
        </w:rPr>
      </w:pPr>
      <w:r>
        <w:rPr>
          <w:rFonts w:hint="eastAsia" w:ascii="仿宋" w:hAnsi="仿宋" w:eastAsia="仿宋"/>
        </w:rPr>
        <w:t>为了加强乙方在甲方港区期间的环境保护管理，使甲方和乙方更好地履行相关社会责任，现根据《环境保护法》《水污染防治法》《大气污染防治法》《固体废物污染环境防治法》等法律法规,经甲乙双方协商一致，同意签订本协议。</w:t>
      </w:r>
    </w:p>
    <w:p w14:paraId="36C2564F">
      <w:pPr>
        <w:pStyle w:val="82"/>
        <w:adjustRightInd w:val="0"/>
        <w:snapToGrid w:val="0"/>
        <w:spacing w:line="500" w:lineRule="exact"/>
        <w:ind w:firstLine="420" w:firstLineChars="200"/>
        <w:rPr>
          <w:rFonts w:ascii="仿宋" w:hAnsi="仿宋" w:eastAsia="仿宋"/>
        </w:rPr>
      </w:pPr>
      <w:r>
        <w:rPr>
          <w:rFonts w:hint="eastAsia" w:ascii="仿宋" w:hAnsi="仿宋" w:eastAsia="仿宋"/>
        </w:rPr>
        <w:t>一、甲方的环境保护管理职责</w:t>
      </w:r>
    </w:p>
    <w:p w14:paraId="3BF5EB99">
      <w:pPr>
        <w:pStyle w:val="82"/>
        <w:adjustRightInd w:val="0"/>
        <w:snapToGrid w:val="0"/>
        <w:spacing w:line="500" w:lineRule="exact"/>
        <w:ind w:firstLine="420" w:firstLineChars="200"/>
        <w:rPr>
          <w:rFonts w:ascii="仿宋" w:hAnsi="仿宋" w:eastAsia="仿宋"/>
        </w:rPr>
      </w:pPr>
      <w:r>
        <w:rPr>
          <w:rFonts w:hint="eastAsia" w:ascii="仿宋" w:hAnsi="仿宋" w:eastAsia="仿宋"/>
        </w:rPr>
        <w:t>1、对乙方进行日常的环境保护落实情况监督，发现问题及时处置。</w:t>
      </w:r>
    </w:p>
    <w:p w14:paraId="3BC486D6">
      <w:pPr>
        <w:pStyle w:val="82"/>
        <w:adjustRightInd w:val="0"/>
        <w:snapToGrid w:val="0"/>
        <w:spacing w:line="500" w:lineRule="exact"/>
        <w:ind w:firstLine="420" w:firstLineChars="200"/>
        <w:rPr>
          <w:rFonts w:ascii="仿宋" w:hAnsi="仿宋" w:eastAsia="仿宋"/>
        </w:rPr>
      </w:pPr>
      <w:r>
        <w:rPr>
          <w:rFonts w:hint="eastAsia" w:ascii="仿宋" w:hAnsi="仿宋" w:eastAsia="仿宋"/>
        </w:rPr>
        <w:t>2、对政府部门、上级部门等相关机构检查发现的乙方违反环境保护法律法规行为,按照环境保护管理职责督促乙方落实整改。</w:t>
      </w:r>
    </w:p>
    <w:p w14:paraId="266AEE0A">
      <w:pPr>
        <w:pStyle w:val="82"/>
        <w:adjustRightInd w:val="0"/>
        <w:snapToGrid w:val="0"/>
        <w:spacing w:line="500" w:lineRule="exact"/>
        <w:ind w:firstLine="420" w:firstLineChars="200"/>
        <w:rPr>
          <w:rFonts w:ascii="仿宋" w:hAnsi="仿宋" w:eastAsia="仿宋"/>
        </w:rPr>
      </w:pPr>
      <w:r>
        <w:rPr>
          <w:rFonts w:hint="eastAsia" w:ascii="仿宋" w:hAnsi="仿宋" w:eastAsia="仿宋"/>
        </w:rPr>
        <w:t>3、发现乙方存在违反环境保护法律法规行为时,及时督促乙方整改,并及时向所在地的环保相关部门报告。</w:t>
      </w:r>
    </w:p>
    <w:p w14:paraId="781B22C3">
      <w:pPr>
        <w:pStyle w:val="82"/>
        <w:adjustRightInd w:val="0"/>
        <w:snapToGrid w:val="0"/>
        <w:spacing w:line="500" w:lineRule="exact"/>
        <w:ind w:firstLine="422" w:firstLineChars="200"/>
        <w:rPr>
          <w:rFonts w:ascii="仿宋" w:hAnsi="仿宋" w:eastAsia="仿宋"/>
        </w:rPr>
      </w:pPr>
      <w:r>
        <w:rPr>
          <w:rFonts w:hint="eastAsia" w:ascii="仿宋" w:hAnsi="仿宋" w:eastAsia="仿宋"/>
          <w:b/>
          <w:bCs/>
        </w:rPr>
        <w:t>4、甲方在第一条的履行情况，任何情况下，不得成为乙方减轻或免除乙方责任的理由，也不得成为甲方承担或分担安全方面责任的理由。</w:t>
      </w:r>
    </w:p>
    <w:p w14:paraId="1C0F9E50">
      <w:pPr>
        <w:pStyle w:val="82"/>
        <w:adjustRightInd w:val="0"/>
        <w:snapToGrid w:val="0"/>
        <w:spacing w:line="500" w:lineRule="exact"/>
        <w:ind w:firstLine="420" w:firstLineChars="200"/>
        <w:rPr>
          <w:rFonts w:ascii="仿宋" w:hAnsi="仿宋" w:eastAsia="仿宋"/>
        </w:rPr>
      </w:pPr>
      <w:r>
        <w:rPr>
          <w:rFonts w:hint="eastAsia" w:ascii="仿宋" w:hAnsi="仿宋" w:eastAsia="仿宋"/>
        </w:rPr>
        <w:t>二、乙方的环境保护管理职责</w:t>
      </w:r>
    </w:p>
    <w:p w14:paraId="78E4FD03">
      <w:pPr>
        <w:pStyle w:val="82"/>
        <w:adjustRightInd w:val="0"/>
        <w:snapToGrid w:val="0"/>
        <w:spacing w:line="500" w:lineRule="exact"/>
        <w:ind w:firstLine="420" w:firstLineChars="200"/>
        <w:rPr>
          <w:rFonts w:ascii="仿宋" w:hAnsi="仿宋" w:eastAsia="仿宋"/>
        </w:rPr>
      </w:pPr>
      <w:r>
        <w:rPr>
          <w:rFonts w:hint="eastAsia" w:ascii="仿宋" w:hAnsi="仿宋" w:eastAsia="仿宋"/>
        </w:rPr>
        <w:t>1、乙方在甲方港区期间，应遵守国家和地方环保法规及各项环保政策的要求，严格执行甲方在环境保护管理体系文件中的各项要求，并对存在的违反环境保护法律法规行为及时进行整改、达标。</w:t>
      </w:r>
    </w:p>
    <w:p w14:paraId="5CA999A9">
      <w:pPr>
        <w:pStyle w:val="82"/>
        <w:adjustRightInd w:val="0"/>
        <w:snapToGrid w:val="0"/>
        <w:spacing w:line="500" w:lineRule="exact"/>
        <w:ind w:firstLine="420" w:firstLineChars="200"/>
        <w:rPr>
          <w:rFonts w:ascii="仿宋" w:hAnsi="仿宋" w:eastAsia="仿宋"/>
        </w:rPr>
      </w:pPr>
      <w:r>
        <w:rPr>
          <w:rFonts w:hint="eastAsia" w:ascii="仿宋" w:hAnsi="仿宋" w:eastAsia="仿宋"/>
        </w:rPr>
        <w:t>2、乙方应尽量减少废物产生，严禁在甲方所辖物业内乱扔垃圾，废弃物应按照甲方的要求进行分类，并投入到相应的垃圾桶内。为了尽可能的减少对环境的危害，鼓励大量使用可再回收利用且对环境无危害的环保型包装材料，作业完毕后应对被污染的工作现场进行及时清洁，保持环境洁净度。</w:t>
      </w:r>
    </w:p>
    <w:p w14:paraId="791CCA06">
      <w:pPr>
        <w:pStyle w:val="82"/>
        <w:adjustRightInd w:val="0"/>
        <w:snapToGrid w:val="0"/>
        <w:spacing w:line="500" w:lineRule="exact"/>
        <w:ind w:firstLine="420" w:firstLineChars="200"/>
        <w:rPr>
          <w:rFonts w:ascii="仿宋" w:hAnsi="仿宋" w:eastAsia="仿宋"/>
        </w:rPr>
      </w:pPr>
      <w:r>
        <w:rPr>
          <w:rFonts w:hint="eastAsia" w:ascii="仿宋" w:hAnsi="仿宋" w:eastAsia="仿宋"/>
        </w:rPr>
        <w:t>3、乙方应对工作中可能产生的废气和噪音加以有效地控制，对于进入甲方港区内的机动车辆应尽快就位停泊、及时关闭引擎、并禁止在港区内鸣笛，尽可能地减少在甲方港区内排放废气、产生噪音，以降低对环境的污染。</w:t>
      </w:r>
    </w:p>
    <w:p w14:paraId="4D75CDB6">
      <w:pPr>
        <w:pStyle w:val="82"/>
        <w:adjustRightInd w:val="0"/>
        <w:snapToGrid w:val="0"/>
        <w:spacing w:line="500" w:lineRule="exact"/>
        <w:ind w:firstLine="420" w:firstLineChars="200"/>
        <w:rPr>
          <w:rFonts w:ascii="仿宋" w:hAnsi="仿宋" w:eastAsia="仿宋"/>
        </w:rPr>
      </w:pPr>
      <w:r>
        <w:rPr>
          <w:rFonts w:hint="eastAsia" w:ascii="仿宋" w:hAnsi="仿宋" w:eastAsia="仿宋"/>
        </w:rPr>
        <w:t>4、根据环境管理的要求，乙方应对易燃、易爆、有毒、有害、有污染及有放射性等的危险物品加以严格、规范化管理，对存储危险物品的容器及空间张贴危险警示标志、做好相应的防护措施，并对使用中要注意的特别事项进行明确说明：同时应对使用危险物品过程中可能或经常发生的情况明确告知甲方。</w:t>
      </w:r>
    </w:p>
    <w:p w14:paraId="2EF136F9">
      <w:pPr>
        <w:pStyle w:val="82"/>
        <w:adjustRightInd w:val="0"/>
        <w:snapToGrid w:val="0"/>
        <w:spacing w:line="500" w:lineRule="exact"/>
        <w:ind w:firstLine="420" w:firstLineChars="200"/>
        <w:rPr>
          <w:rFonts w:ascii="仿宋" w:hAnsi="仿宋" w:eastAsia="仿宋"/>
        </w:rPr>
      </w:pPr>
      <w:r>
        <w:rPr>
          <w:rFonts w:hint="eastAsia" w:ascii="仿宋" w:hAnsi="仿宋" w:eastAsia="仿宋"/>
        </w:rPr>
        <w:t>5、在日常经营过程中，严禁乙方在甲方港区内存储、出售有关易燃、易爆、有毒、有害、有污染及有放射性等的危险物品；一旦出现违例，乙方应积极整改；对屡教不改者，甲方有权做出相应的处罚措施。</w:t>
      </w:r>
    </w:p>
    <w:p w14:paraId="378B8FFF">
      <w:pPr>
        <w:pStyle w:val="82"/>
        <w:adjustRightInd w:val="0"/>
        <w:snapToGrid w:val="0"/>
        <w:spacing w:line="500" w:lineRule="exact"/>
        <w:ind w:firstLine="420" w:firstLineChars="200"/>
        <w:rPr>
          <w:rFonts w:ascii="仿宋" w:hAnsi="仿宋" w:eastAsia="仿宋"/>
        </w:rPr>
      </w:pPr>
      <w:r>
        <w:rPr>
          <w:rFonts w:hint="eastAsia" w:ascii="仿宋" w:hAnsi="仿宋" w:eastAsia="仿宋"/>
        </w:rPr>
        <w:t>6、乙方在使用甲方场地的过程中，应尽量减少污水的产生，并合法合理地处理日常污水达标后排放。</w:t>
      </w:r>
    </w:p>
    <w:p w14:paraId="07C07F26">
      <w:pPr>
        <w:pStyle w:val="82"/>
        <w:adjustRightInd w:val="0"/>
        <w:snapToGrid w:val="0"/>
        <w:spacing w:line="500" w:lineRule="exact"/>
        <w:ind w:firstLine="420" w:firstLineChars="200"/>
        <w:rPr>
          <w:rFonts w:ascii="仿宋" w:hAnsi="仿宋" w:eastAsia="仿宋"/>
        </w:rPr>
      </w:pPr>
      <w:r>
        <w:rPr>
          <w:rFonts w:hint="eastAsia" w:ascii="仿宋" w:hAnsi="仿宋" w:eastAsia="仿宋"/>
        </w:rPr>
        <w:t>7、乙方应对使用甲方场地的日常清洁卫生负责，并履行“门前三包”职责，保持周边的良好公共环境。</w:t>
      </w:r>
    </w:p>
    <w:p w14:paraId="1809BC85">
      <w:pPr>
        <w:pStyle w:val="82"/>
        <w:adjustRightInd w:val="0"/>
        <w:snapToGrid w:val="0"/>
        <w:spacing w:line="500" w:lineRule="exact"/>
        <w:ind w:firstLine="420" w:firstLineChars="200"/>
        <w:rPr>
          <w:rFonts w:ascii="仿宋" w:hAnsi="仿宋" w:eastAsia="仿宋"/>
        </w:rPr>
      </w:pPr>
      <w:r>
        <w:rPr>
          <w:rFonts w:hint="eastAsia" w:ascii="仿宋" w:hAnsi="仿宋" w:eastAsia="仿宋"/>
        </w:rPr>
        <w:t>8、禁止出现高空抛物的现象，违规者将按国家、省市、地方的有关规定严惩，并承担相关责任。</w:t>
      </w:r>
    </w:p>
    <w:p w14:paraId="3175DF94">
      <w:pPr>
        <w:pStyle w:val="82"/>
        <w:adjustRightInd w:val="0"/>
        <w:snapToGrid w:val="0"/>
        <w:spacing w:line="500" w:lineRule="exact"/>
        <w:ind w:firstLine="420" w:firstLineChars="200"/>
        <w:rPr>
          <w:rFonts w:ascii="仿宋" w:hAnsi="仿宋" w:eastAsia="仿宋"/>
        </w:rPr>
      </w:pPr>
      <w:r>
        <w:rPr>
          <w:rFonts w:hint="eastAsia" w:ascii="仿宋" w:hAnsi="仿宋" w:eastAsia="仿宋"/>
        </w:rPr>
        <w:t>9、对于利用甲方场地进行日常经营活动所产生的废油、废水、噪音，乙方应根据环保要求做好相关的排放及降噪等技术处理，如建立隔油、沉淀池，对自身安装的空调器冷凝水进行规范收集、排放，与具有环保相关资质的第三方单位签订工作协议对各种污物进行定期处理等。</w:t>
      </w:r>
    </w:p>
    <w:p w14:paraId="29990299">
      <w:pPr>
        <w:pStyle w:val="82"/>
        <w:adjustRightInd w:val="0"/>
        <w:snapToGrid w:val="0"/>
        <w:spacing w:line="500" w:lineRule="exact"/>
        <w:ind w:firstLine="420" w:firstLineChars="200"/>
        <w:rPr>
          <w:rFonts w:ascii="仿宋" w:hAnsi="仿宋" w:eastAsia="仿宋"/>
        </w:rPr>
      </w:pPr>
      <w:r>
        <w:rPr>
          <w:rFonts w:hint="eastAsia" w:ascii="仿宋" w:hAnsi="仿宋" w:eastAsia="仿宋"/>
        </w:rPr>
        <w:t>10、合理地使用日常资源（如水电气等），应做到人员离开后随手关闭电源开关（或阀门），做到既节约能源、又确保安全。</w:t>
      </w:r>
    </w:p>
    <w:p w14:paraId="5A46CC0F">
      <w:pPr>
        <w:pStyle w:val="82"/>
        <w:adjustRightInd w:val="0"/>
        <w:snapToGrid w:val="0"/>
        <w:spacing w:line="500" w:lineRule="exact"/>
        <w:ind w:firstLine="420" w:firstLineChars="200"/>
        <w:rPr>
          <w:rFonts w:ascii="仿宋" w:hAnsi="仿宋" w:eastAsia="仿宋"/>
        </w:rPr>
      </w:pPr>
      <w:r>
        <w:rPr>
          <w:rFonts w:hint="eastAsia" w:ascii="仿宋" w:hAnsi="仿宋" w:eastAsia="仿宋"/>
        </w:rPr>
        <w:t>11、加强对危险作业（如高空作业、动火作业、临水作业、有限空间等）的控制，采用必要的防护措施，确保工作人员及周边环境的安全；作业前与作业期间应配备必要的防护用品、悬挂相应的警示标识等；进行危险作业前需向甲方履行相关申报手续。</w:t>
      </w:r>
    </w:p>
    <w:p w14:paraId="0DDC7A8E">
      <w:pPr>
        <w:pStyle w:val="82"/>
        <w:adjustRightInd w:val="0"/>
        <w:snapToGrid w:val="0"/>
        <w:spacing w:line="500" w:lineRule="exact"/>
        <w:ind w:firstLine="420" w:firstLineChars="200"/>
        <w:rPr>
          <w:rFonts w:ascii="仿宋" w:hAnsi="仿宋" w:eastAsia="仿宋"/>
        </w:rPr>
      </w:pPr>
      <w:r>
        <w:rPr>
          <w:rFonts w:hint="eastAsia" w:ascii="仿宋" w:hAnsi="仿宋" w:eastAsia="仿宋"/>
        </w:rPr>
        <w:t>12、对于乙方在港区内出现不符合环境保护管理要求的，甲方将有权对不符合项进行督查、记录，并给予相关的整改意见；对于严重不合格事项而又未及时采取措施改正的，甲方将有权发出《整改通知书》要求限期整改；对于置之不理者，甲方将给予乙方停水停电处理，情节严重的，要求乙方立即停止作业，按双方《主合同》总价款的20%向甲方支付违约金，违约金不足以弥补甲方损失的，乙方还应赔偿乙方损失。</w:t>
      </w:r>
    </w:p>
    <w:p w14:paraId="4FD3BBEA">
      <w:pPr>
        <w:pStyle w:val="82"/>
        <w:adjustRightInd w:val="0"/>
        <w:snapToGrid w:val="0"/>
        <w:spacing w:line="500" w:lineRule="exact"/>
        <w:ind w:firstLine="420" w:firstLineChars="200"/>
        <w:rPr>
          <w:rFonts w:ascii="仿宋" w:hAnsi="仿宋" w:eastAsia="仿宋"/>
        </w:rPr>
      </w:pPr>
      <w:r>
        <w:rPr>
          <w:rFonts w:hint="eastAsia" w:ascii="仿宋" w:hAnsi="仿宋" w:eastAsia="仿宋"/>
        </w:rPr>
        <w:t>13、乙方应努力配合甲方开展环境管理工作，在实施过程中，乙方有责任协同甲方进行环境保护管理控制；乙方应对所属员工开展相关的培训与教育工作，努力提高员工的环保意识。</w:t>
      </w:r>
    </w:p>
    <w:p w14:paraId="6DB75A11">
      <w:pPr>
        <w:pStyle w:val="82"/>
        <w:adjustRightInd w:val="0"/>
        <w:snapToGrid w:val="0"/>
        <w:spacing w:line="500" w:lineRule="exact"/>
        <w:ind w:firstLine="420" w:firstLineChars="200"/>
        <w:rPr>
          <w:rFonts w:ascii="仿宋" w:hAnsi="仿宋" w:eastAsia="仿宋"/>
        </w:rPr>
      </w:pPr>
      <w:r>
        <w:rPr>
          <w:rFonts w:hint="eastAsia" w:ascii="仿宋" w:hAnsi="仿宋" w:eastAsia="仿宋"/>
        </w:rPr>
        <w:t>14、协议双方应努力创造良好的环境条件，通过多元参与、加强交流的方式共同推进环境保护工作。</w:t>
      </w:r>
    </w:p>
    <w:p w14:paraId="2053E516">
      <w:pPr>
        <w:pStyle w:val="82"/>
        <w:adjustRightInd w:val="0"/>
        <w:snapToGrid w:val="0"/>
        <w:spacing w:line="500" w:lineRule="exact"/>
        <w:ind w:firstLine="420" w:firstLineChars="200"/>
        <w:rPr>
          <w:rFonts w:ascii="仿宋" w:hAnsi="仿宋" w:eastAsia="仿宋"/>
        </w:rPr>
      </w:pPr>
      <w:r>
        <w:rPr>
          <w:rFonts w:hint="eastAsia" w:ascii="仿宋" w:hAnsi="仿宋" w:eastAsia="仿宋"/>
        </w:rPr>
        <w:t>15、乙方需设置一名人员专门负责环境保护管理工作的相关事宜。</w:t>
      </w:r>
    </w:p>
    <w:p w14:paraId="52473869">
      <w:pPr>
        <w:pStyle w:val="82"/>
        <w:adjustRightInd w:val="0"/>
        <w:snapToGrid w:val="0"/>
        <w:spacing w:line="500" w:lineRule="exact"/>
        <w:ind w:firstLine="420" w:firstLineChars="200"/>
        <w:rPr>
          <w:rFonts w:ascii="仿宋" w:hAnsi="仿宋" w:eastAsia="仿宋"/>
        </w:rPr>
      </w:pPr>
      <w:r>
        <w:rPr>
          <w:rFonts w:hint="eastAsia" w:ascii="仿宋" w:hAnsi="仿宋" w:eastAsia="仿宋"/>
        </w:rPr>
        <w:t>姓名：</w:t>
      </w:r>
      <w:r>
        <w:rPr>
          <w:rFonts w:hint="eastAsia" w:ascii="仿宋" w:hAnsi="仿宋" w:eastAsia="仿宋"/>
          <w:u w:val="single"/>
        </w:rPr>
        <w:t xml:space="preserve">              </w:t>
      </w:r>
      <w:r>
        <w:rPr>
          <w:rFonts w:hint="eastAsia" w:ascii="仿宋" w:hAnsi="仿宋" w:eastAsia="仿宋"/>
        </w:rPr>
        <w:t>， 手机 ：</w:t>
      </w:r>
      <w:r>
        <w:rPr>
          <w:rFonts w:hint="eastAsia" w:ascii="仿宋" w:hAnsi="仿宋" w:eastAsia="仿宋"/>
          <w:u w:val="single"/>
        </w:rPr>
        <w:t xml:space="preserve">                     </w:t>
      </w:r>
      <w:r>
        <w:rPr>
          <w:rFonts w:hint="eastAsia" w:ascii="仿宋" w:hAnsi="仿宋" w:eastAsia="仿宋"/>
        </w:rPr>
        <w:t xml:space="preserve"> </w:t>
      </w:r>
    </w:p>
    <w:p w14:paraId="1992B7E2">
      <w:pPr>
        <w:pStyle w:val="82"/>
        <w:adjustRightInd w:val="0"/>
        <w:snapToGrid w:val="0"/>
        <w:spacing w:line="500" w:lineRule="exact"/>
        <w:ind w:firstLine="420" w:firstLineChars="200"/>
        <w:rPr>
          <w:rFonts w:ascii="仿宋" w:hAnsi="仿宋" w:eastAsia="仿宋"/>
        </w:rPr>
      </w:pPr>
      <w:r>
        <w:rPr>
          <w:rFonts w:hint="eastAsia" w:ascii="仿宋" w:hAnsi="仿宋" w:eastAsia="仿宋"/>
        </w:rPr>
        <w:t>16、乙方产生工业固体废物的，应当建立工业固体废物的管理台账，如实记录产生工业固体废物的种类、数量、流向、贮存、利用、处置等信息，实现工业固体废物可追溯、可查询。</w:t>
      </w:r>
    </w:p>
    <w:p w14:paraId="37F09D36">
      <w:pPr>
        <w:pStyle w:val="82"/>
        <w:adjustRightInd w:val="0"/>
        <w:snapToGrid w:val="0"/>
        <w:spacing w:line="500" w:lineRule="exact"/>
        <w:ind w:firstLine="420" w:firstLineChars="200"/>
        <w:rPr>
          <w:rFonts w:ascii="仿宋" w:hAnsi="仿宋" w:eastAsia="仿宋"/>
        </w:rPr>
      </w:pPr>
      <w:r>
        <w:rPr>
          <w:rFonts w:hint="eastAsia" w:ascii="仿宋" w:hAnsi="仿宋" w:eastAsia="仿宋"/>
        </w:rPr>
        <w:t>三、乙方发生环保事故或被环保部门处罚的，由乙方自行承担法律责任，如因此导致甲方承担责任的，甲方有权向乙方追偿。</w:t>
      </w:r>
    </w:p>
    <w:p w14:paraId="28B9EC99">
      <w:pPr>
        <w:pStyle w:val="82"/>
        <w:adjustRightInd w:val="0"/>
        <w:snapToGrid w:val="0"/>
        <w:spacing w:line="500" w:lineRule="exact"/>
        <w:ind w:firstLine="420" w:firstLineChars="200"/>
        <w:rPr>
          <w:rFonts w:ascii="仿宋" w:hAnsi="仿宋" w:eastAsia="仿宋"/>
        </w:rPr>
      </w:pPr>
      <w:r>
        <w:rPr>
          <w:rFonts w:hint="eastAsia" w:ascii="仿宋" w:hAnsi="仿宋" w:eastAsia="仿宋"/>
        </w:rPr>
        <w:t>四、本协议有效期与甲乙双方签订的《主合同》时间一致，无《主合同》的，在签署当年有效。</w:t>
      </w:r>
    </w:p>
    <w:p w14:paraId="174AAF0E">
      <w:pPr>
        <w:pStyle w:val="82"/>
        <w:adjustRightInd w:val="0"/>
        <w:snapToGrid w:val="0"/>
        <w:spacing w:line="500" w:lineRule="exact"/>
        <w:ind w:firstLine="420" w:firstLineChars="200"/>
        <w:rPr>
          <w:rFonts w:ascii="仿宋" w:hAnsi="仿宋" w:eastAsia="仿宋"/>
        </w:rPr>
      </w:pPr>
      <w:r>
        <w:rPr>
          <w:rFonts w:hint="eastAsia" w:ascii="仿宋" w:hAnsi="仿宋" w:eastAsia="仿宋"/>
        </w:rPr>
        <w:t>五、本协议一式二份，甲、乙双方各执一份。</w:t>
      </w:r>
    </w:p>
    <w:p w14:paraId="3E9C32C3">
      <w:pPr>
        <w:pStyle w:val="82"/>
        <w:adjustRightInd w:val="0"/>
        <w:snapToGrid w:val="0"/>
        <w:spacing w:line="500" w:lineRule="exact"/>
        <w:ind w:firstLine="420" w:firstLineChars="200"/>
        <w:rPr>
          <w:rFonts w:ascii="仿宋" w:hAnsi="仿宋" w:eastAsia="仿宋"/>
        </w:rPr>
      </w:pPr>
      <w:r>
        <w:rPr>
          <w:rFonts w:hint="eastAsia" w:ascii="仿宋" w:hAnsi="仿宋" w:eastAsia="仿宋"/>
        </w:rPr>
        <w:t>甲方代表（签字盖章）：</w:t>
      </w:r>
      <w:r>
        <w:rPr>
          <w:rFonts w:hint="eastAsia" w:ascii="仿宋" w:hAnsi="仿宋" w:eastAsia="仿宋"/>
        </w:rPr>
        <w:tab/>
      </w:r>
      <w:r>
        <w:rPr>
          <w:rFonts w:hint="eastAsia" w:ascii="仿宋" w:hAnsi="仿宋" w:eastAsia="仿宋"/>
        </w:rPr>
        <w:tab/>
      </w:r>
      <w:r>
        <w:rPr>
          <w:rFonts w:hint="eastAsia" w:ascii="仿宋" w:hAnsi="仿宋" w:eastAsia="仿宋"/>
        </w:rPr>
        <w:t xml:space="preserve">乙方代表（签字盖章）： </w:t>
      </w:r>
    </w:p>
    <w:p w14:paraId="614D9528">
      <w:pPr>
        <w:pStyle w:val="82"/>
        <w:adjustRightInd w:val="0"/>
        <w:snapToGrid w:val="0"/>
        <w:spacing w:line="500" w:lineRule="exact"/>
        <w:ind w:firstLine="420" w:firstLineChars="200"/>
        <w:rPr>
          <w:rFonts w:ascii="仿宋" w:hAnsi="仿宋" w:eastAsia="仿宋"/>
        </w:rPr>
      </w:pPr>
      <w:r>
        <w:rPr>
          <w:rFonts w:hint="eastAsia" w:ascii="仿宋" w:hAnsi="仿宋" w:eastAsia="仿宋"/>
        </w:rPr>
        <w:t xml:space="preserve">联系电话：                 </w:t>
      </w:r>
      <w:r>
        <w:rPr>
          <w:rFonts w:hint="eastAsia" w:ascii="仿宋" w:hAnsi="仿宋" w:eastAsia="仿宋"/>
        </w:rPr>
        <w:tab/>
      </w:r>
      <w:r>
        <w:rPr>
          <w:rFonts w:hint="eastAsia" w:ascii="仿宋" w:hAnsi="仿宋" w:eastAsia="仿宋"/>
        </w:rPr>
        <w:t xml:space="preserve">联系电话：  </w:t>
      </w:r>
    </w:p>
    <w:p w14:paraId="35B6FF63">
      <w:pPr>
        <w:pStyle w:val="82"/>
        <w:adjustRightInd w:val="0"/>
        <w:snapToGrid w:val="0"/>
        <w:spacing w:line="500" w:lineRule="exact"/>
        <w:ind w:firstLine="420" w:firstLineChars="200"/>
        <w:jc w:val="right"/>
        <w:rPr>
          <w:rFonts w:ascii="宋体" w:hAnsi="宋体"/>
          <w:b/>
        </w:rPr>
      </w:pPr>
      <w:r>
        <w:rPr>
          <w:rFonts w:hint="eastAsia" w:ascii="仿宋" w:hAnsi="仿宋" w:eastAsia="仿宋"/>
        </w:rPr>
        <w:t>年</w:t>
      </w:r>
      <w:r>
        <w:rPr>
          <w:rFonts w:hint="eastAsia" w:ascii="仿宋" w:hAnsi="仿宋" w:eastAsia="仿宋"/>
        </w:rPr>
        <w:tab/>
      </w:r>
      <w:r>
        <w:rPr>
          <w:rFonts w:hint="eastAsia" w:ascii="仿宋" w:hAnsi="仿宋" w:eastAsia="仿宋"/>
        </w:rPr>
        <w:t xml:space="preserve">月 </w:t>
      </w:r>
      <w:r>
        <w:rPr>
          <w:rFonts w:hint="eastAsia" w:ascii="仿宋" w:hAnsi="仿宋" w:eastAsia="仿宋"/>
        </w:rPr>
        <w:tab/>
      </w:r>
      <w:r>
        <w:rPr>
          <w:rFonts w:hint="eastAsia" w:ascii="仿宋" w:hAnsi="仿宋" w:eastAsia="仿宋"/>
        </w:rPr>
        <w:t>日</w:t>
      </w:r>
    </w:p>
    <w:p w14:paraId="2D277942">
      <w:pPr>
        <w:spacing w:line="440" w:lineRule="exact"/>
        <w:jc w:val="left"/>
        <w:rPr>
          <w:rFonts w:ascii="宋体" w:hAnsi="宋体"/>
          <w:b/>
          <w:szCs w:val="21"/>
        </w:rPr>
      </w:pPr>
    </w:p>
    <w:p w14:paraId="5E8FDC12">
      <w:pPr>
        <w:spacing w:line="440" w:lineRule="exact"/>
        <w:jc w:val="left"/>
        <w:rPr>
          <w:rFonts w:ascii="宋体" w:hAnsi="宋体"/>
          <w:b/>
          <w:szCs w:val="21"/>
        </w:rPr>
      </w:pPr>
    </w:p>
    <w:p w14:paraId="7B705878">
      <w:pPr>
        <w:spacing w:line="440" w:lineRule="exact"/>
        <w:jc w:val="left"/>
        <w:rPr>
          <w:rFonts w:ascii="宋体" w:hAnsi="宋体"/>
          <w:b/>
          <w:szCs w:val="21"/>
        </w:rPr>
      </w:pPr>
    </w:p>
    <w:p w14:paraId="11B71E64">
      <w:pPr>
        <w:spacing w:line="440" w:lineRule="exact"/>
        <w:jc w:val="left"/>
        <w:rPr>
          <w:rFonts w:ascii="宋体" w:hAnsi="宋体"/>
          <w:b/>
          <w:szCs w:val="21"/>
        </w:rPr>
      </w:pPr>
    </w:p>
    <w:p w14:paraId="72C30E89">
      <w:pPr>
        <w:spacing w:line="440" w:lineRule="exact"/>
        <w:jc w:val="left"/>
        <w:rPr>
          <w:rFonts w:ascii="宋体" w:hAnsi="宋体"/>
          <w:b/>
          <w:szCs w:val="21"/>
        </w:rPr>
      </w:pPr>
    </w:p>
    <w:p w14:paraId="12EEB560">
      <w:pPr>
        <w:spacing w:line="440" w:lineRule="exact"/>
        <w:jc w:val="left"/>
        <w:rPr>
          <w:rFonts w:ascii="宋体" w:hAnsi="宋体"/>
          <w:b/>
          <w:szCs w:val="21"/>
        </w:rPr>
      </w:pPr>
    </w:p>
    <w:p w14:paraId="20CF136D">
      <w:pPr>
        <w:spacing w:line="440" w:lineRule="exact"/>
        <w:jc w:val="left"/>
        <w:rPr>
          <w:rFonts w:ascii="宋体" w:hAnsi="宋体"/>
          <w:b/>
          <w:szCs w:val="21"/>
        </w:rPr>
      </w:pPr>
    </w:p>
    <w:p w14:paraId="3430AACD">
      <w:pPr>
        <w:rPr>
          <w:rFonts w:ascii="宋体" w:hAnsi="宋体"/>
          <w:b/>
          <w:szCs w:val="21"/>
        </w:rPr>
      </w:pPr>
      <w:r>
        <w:rPr>
          <w:rFonts w:hint="eastAsia" w:ascii="宋体" w:hAnsi="宋体"/>
          <w:b/>
          <w:szCs w:val="21"/>
        </w:rPr>
        <w:br w:type="page"/>
      </w:r>
    </w:p>
    <w:p w14:paraId="57827C35">
      <w:pPr>
        <w:spacing w:line="440" w:lineRule="exact"/>
        <w:jc w:val="left"/>
        <w:rPr>
          <w:rFonts w:ascii="宋体" w:hAnsi="宋体"/>
          <w:b/>
          <w:szCs w:val="21"/>
        </w:rPr>
      </w:pPr>
      <w:r>
        <w:rPr>
          <w:rFonts w:hint="eastAsia" w:ascii="宋体" w:hAnsi="宋体"/>
          <w:b/>
          <w:szCs w:val="21"/>
        </w:rPr>
        <w:t>附件</w:t>
      </w:r>
      <w:r>
        <w:rPr>
          <w:rFonts w:hint="eastAsia" w:ascii="宋体" w:hAnsi="宋体"/>
          <w:b/>
          <w:szCs w:val="21"/>
          <w:lang w:val="en-US" w:eastAsia="zh-CN"/>
        </w:rPr>
        <w:t>8</w:t>
      </w:r>
      <w:r>
        <w:rPr>
          <w:rFonts w:hint="eastAsia" w:ascii="宋体" w:hAnsi="宋体"/>
          <w:b/>
          <w:szCs w:val="21"/>
        </w:rPr>
        <w:t>:</w:t>
      </w:r>
    </w:p>
    <w:p w14:paraId="6DAA0953">
      <w:pPr>
        <w:autoSpaceDE w:val="0"/>
        <w:autoSpaceDN w:val="0"/>
        <w:spacing w:line="500" w:lineRule="exact"/>
        <w:jc w:val="center"/>
        <w:rPr>
          <w:rFonts w:ascii="仿宋" w:hAnsi="仿宋" w:eastAsia="仿宋"/>
          <w:b/>
          <w:bCs/>
          <w:szCs w:val="21"/>
        </w:rPr>
      </w:pPr>
      <w:r>
        <w:rPr>
          <w:rFonts w:hint="eastAsia" w:ascii="仿宋" w:hAnsi="仿宋" w:eastAsia="仿宋"/>
          <w:b/>
          <w:bCs/>
          <w:szCs w:val="21"/>
        </w:rPr>
        <w:t>相关方消防安全协议书</w:t>
      </w:r>
    </w:p>
    <w:p w14:paraId="6BCBB42F">
      <w:pPr>
        <w:pStyle w:val="82"/>
        <w:adjustRightInd w:val="0"/>
        <w:snapToGrid w:val="0"/>
        <w:spacing w:line="500" w:lineRule="exact"/>
        <w:rPr>
          <w:rFonts w:ascii="仿宋" w:hAnsi="仿宋" w:eastAsia="仿宋"/>
        </w:rPr>
      </w:pPr>
      <w:r>
        <w:rPr>
          <w:rFonts w:hint="eastAsia" w:ascii="仿宋" w:hAnsi="仿宋" w:eastAsia="仿宋"/>
        </w:rPr>
        <w:t xml:space="preserve">甲方：温州金洋集装箱码头有限公司 （以下简称甲方） </w:t>
      </w:r>
    </w:p>
    <w:p w14:paraId="48F3796C">
      <w:pPr>
        <w:pStyle w:val="82"/>
        <w:adjustRightInd w:val="0"/>
        <w:snapToGrid w:val="0"/>
        <w:spacing w:line="500" w:lineRule="exact"/>
        <w:rPr>
          <w:rFonts w:ascii="仿宋" w:hAnsi="仿宋" w:eastAsia="仿宋"/>
        </w:rPr>
      </w:pPr>
      <w:r>
        <w:rPr>
          <w:rFonts w:hint="eastAsia" w:ascii="仿宋" w:hAnsi="仿宋" w:eastAsia="仿宋"/>
        </w:rPr>
        <w:t>乙方：</w:t>
      </w:r>
      <w:r>
        <w:rPr>
          <w:rFonts w:hint="eastAsia" w:ascii="仿宋" w:hAnsi="仿宋" w:eastAsia="仿宋"/>
        </w:rPr>
        <w:tab/>
      </w:r>
      <w:r>
        <w:rPr>
          <w:rFonts w:hint="eastAsia" w:ascii="仿宋" w:hAnsi="仿宋" w:eastAsia="仿宋"/>
        </w:rPr>
        <w:t xml:space="preserve">                        （以下简称乙方）</w:t>
      </w:r>
    </w:p>
    <w:p w14:paraId="05EDFAEA">
      <w:pPr>
        <w:pStyle w:val="82"/>
        <w:adjustRightInd w:val="0"/>
        <w:snapToGrid w:val="0"/>
        <w:spacing w:line="500" w:lineRule="exact"/>
        <w:ind w:firstLine="420" w:firstLineChars="200"/>
        <w:rPr>
          <w:rFonts w:ascii="仿宋" w:hAnsi="仿宋" w:eastAsia="仿宋"/>
        </w:rPr>
      </w:pPr>
      <w:r>
        <w:rPr>
          <w:rFonts w:hint="eastAsia" w:ascii="仿宋" w:hAnsi="仿宋" w:eastAsia="仿宋"/>
        </w:rPr>
        <w:t>为贯彻落实“预防为主，防消结合”方针，确保港区消防安全，杜绝与防止火灾事故的发生，根据《中华人民共和国消防法》《中华人民共和国安全生产法》等法律法规的相关规定，经双方友好协商一致签订本协议，具体条款内容如下：</w:t>
      </w:r>
    </w:p>
    <w:p w14:paraId="0B4543C0">
      <w:pPr>
        <w:pStyle w:val="82"/>
        <w:adjustRightInd w:val="0"/>
        <w:snapToGrid w:val="0"/>
        <w:spacing w:line="500" w:lineRule="exact"/>
        <w:ind w:firstLine="420" w:firstLineChars="200"/>
        <w:rPr>
          <w:rFonts w:ascii="仿宋" w:hAnsi="仿宋" w:eastAsia="仿宋"/>
        </w:rPr>
      </w:pPr>
      <w:r>
        <w:rPr>
          <w:rFonts w:hint="eastAsia" w:ascii="仿宋" w:hAnsi="仿宋" w:eastAsia="仿宋"/>
        </w:rPr>
        <w:t>一、甲方的权利和责任</w:t>
      </w:r>
    </w:p>
    <w:p w14:paraId="1771C72F">
      <w:pPr>
        <w:pStyle w:val="82"/>
        <w:adjustRightInd w:val="0"/>
        <w:snapToGrid w:val="0"/>
        <w:spacing w:line="500" w:lineRule="exact"/>
        <w:ind w:firstLine="420" w:firstLineChars="200"/>
        <w:rPr>
          <w:rFonts w:ascii="仿宋" w:hAnsi="仿宋" w:eastAsia="仿宋"/>
        </w:rPr>
      </w:pPr>
      <w:r>
        <w:rPr>
          <w:rFonts w:hint="eastAsia" w:ascii="仿宋" w:hAnsi="仿宋" w:eastAsia="仿宋"/>
        </w:rPr>
        <w:t>1、负责本港区消防安全防范的组织工作，定期开展消防安全知识宣传和消防逃生演习活动，定期安排防火检查，对发现的火灾隐患及时整改，涉及乙方的积极要予以配合。</w:t>
      </w:r>
    </w:p>
    <w:p w14:paraId="26342442">
      <w:pPr>
        <w:pStyle w:val="82"/>
        <w:adjustRightInd w:val="0"/>
        <w:snapToGrid w:val="0"/>
        <w:spacing w:line="500" w:lineRule="exact"/>
        <w:ind w:firstLine="420" w:firstLineChars="200"/>
        <w:rPr>
          <w:rFonts w:ascii="仿宋" w:hAnsi="仿宋" w:eastAsia="仿宋"/>
        </w:rPr>
      </w:pPr>
      <w:r>
        <w:rPr>
          <w:rFonts w:hint="eastAsia" w:ascii="仿宋" w:hAnsi="仿宋" w:eastAsia="仿宋"/>
        </w:rPr>
        <w:t>2、负责本港区公共消防设施设备的管理维护工作，监督乙方贯彻执行各项消防管理规定和落实责任区域内（办公场所及附属设备设施、人员、车辆、货物等）的消防管控措施。</w:t>
      </w:r>
    </w:p>
    <w:p w14:paraId="353EABE1">
      <w:pPr>
        <w:pStyle w:val="82"/>
        <w:adjustRightInd w:val="0"/>
        <w:snapToGrid w:val="0"/>
        <w:spacing w:line="500" w:lineRule="exact"/>
        <w:ind w:firstLine="420" w:firstLineChars="200"/>
        <w:rPr>
          <w:rFonts w:ascii="仿宋" w:hAnsi="仿宋" w:eastAsia="仿宋"/>
        </w:rPr>
      </w:pPr>
      <w:r>
        <w:rPr>
          <w:rFonts w:hint="eastAsia" w:ascii="仿宋" w:hAnsi="仿宋" w:eastAsia="仿宋"/>
        </w:rPr>
        <w:t>3、发生火警时，紧急情况下甲方有权根据火情采取应急措施，不必征得乙方同意，依据事实再追究乙方责任。</w:t>
      </w:r>
    </w:p>
    <w:p w14:paraId="0378970B">
      <w:pPr>
        <w:pStyle w:val="82"/>
        <w:adjustRightInd w:val="0"/>
        <w:snapToGrid w:val="0"/>
        <w:spacing w:line="500" w:lineRule="exact"/>
        <w:ind w:firstLine="420" w:firstLineChars="200"/>
        <w:rPr>
          <w:rFonts w:ascii="仿宋" w:hAnsi="仿宋" w:eastAsia="仿宋"/>
        </w:rPr>
      </w:pPr>
      <w:r>
        <w:rPr>
          <w:rFonts w:hint="eastAsia" w:ascii="仿宋" w:hAnsi="仿宋" w:eastAsia="仿宋"/>
        </w:rPr>
        <w:t>4、甲方应及时传达有关部门、上级最新消防安全文件与工作要求，并在公共区域提供基本的消防设施保障。</w:t>
      </w:r>
    </w:p>
    <w:p w14:paraId="53BD62B0">
      <w:pPr>
        <w:pStyle w:val="82"/>
        <w:adjustRightInd w:val="0"/>
        <w:snapToGrid w:val="0"/>
        <w:spacing w:line="500" w:lineRule="exact"/>
        <w:ind w:firstLine="420" w:firstLineChars="200"/>
        <w:rPr>
          <w:rFonts w:ascii="仿宋" w:hAnsi="仿宋" w:eastAsia="仿宋"/>
        </w:rPr>
      </w:pPr>
      <w:r>
        <w:rPr>
          <w:rFonts w:hint="eastAsia" w:ascii="仿宋" w:hAnsi="仿宋" w:eastAsia="仿宋"/>
        </w:rPr>
        <w:t>5、甲方在第一条的履行情况，任何情况下，不得成为乙方减轻或免除乙方责任的理由，也不得成为甲方承担或分担安全方面责任的理由。</w:t>
      </w:r>
    </w:p>
    <w:p w14:paraId="280E169A">
      <w:pPr>
        <w:pStyle w:val="82"/>
        <w:adjustRightInd w:val="0"/>
        <w:snapToGrid w:val="0"/>
        <w:spacing w:line="500" w:lineRule="exact"/>
        <w:ind w:firstLine="420" w:firstLineChars="200"/>
        <w:rPr>
          <w:rFonts w:ascii="仿宋" w:hAnsi="仿宋" w:eastAsia="仿宋"/>
        </w:rPr>
      </w:pPr>
      <w:r>
        <w:rPr>
          <w:rFonts w:hint="eastAsia" w:ascii="仿宋" w:hAnsi="仿宋" w:eastAsia="仿宋"/>
        </w:rPr>
        <w:t>二、乙方的权利和责任</w:t>
      </w:r>
    </w:p>
    <w:p w14:paraId="37AFF7CD">
      <w:pPr>
        <w:pStyle w:val="82"/>
        <w:adjustRightInd w:val="0"/>
        <w:snapToGrid w:val="0"/>
        <w:spacing w:line="500" w:lineRule="exact"/>
        <w:ind w:firstLine="420" w:firstLineChars="200"/>
        <w:rPr>
          <w:rFonts w:ascii="仿宋" w:hAnsi="仿宋" w:eastAsia="仿宋"/>
        </w:rPr>
      </w:pPr>
      <w:r>
        <w:rPr>
          <w:rFonts w:hint="eastAsia" w:ascii="仿宋" w:hAnsi="仿宋" w:eastAsia="仿宋"/>
        </w:rPr>
        <w:t>1、乙方要自觉接受甲方的监督与管理，落实安全防火措施，预防火灾和遏制火灾危害。</w:t>
      </w:r>
    </w:p>
    <w:p w14:paraId="4E2D8483">
      <w:pPr>
        <w:pStyle w:val="82"/>
        <w:adjustRightInd w:val="0"/>
        <w:snapToGrid w:val="0"/>
        <w:spacing w:line="500" w:lineRule="exact"/>
        <w:ind w:firstLine="420" w:firstLineChars="200"/>
        <w:rPr>
          <w:rFonts w:ascii="仿宋" w:hAnsi="仿宋" w:eastAsia="仿宋"/>
        </w:rPr>
      </w:pPr>
      <w:r>
        <w:rPr>
          <w:rFonts w:hint="eastAsia" w:ascii="仿宋" w:hAnsi="仿宋" w:eastAsia="仿宋"/>
        </w:rPr>
        <w:t>2、乙方法人代表对责任区域的消防安全工作负有全部责任，并制定相关措施，确保消防安全。租赁办公室的单位在场所内若自行配置灭火器材，必须按照甲方要求每月检查其有效性。</w:t>
      </w:r>
    </w:p>
    <w:p w14:paraId="5A459915">
      <w:pPr>
        <w:pStyle w:val="82"/>
        <w:adjustRightInd w:val="0"/>
        <w:snapToGrid w:val="0"/>
        <w:spacing w:line="500" w:lineRule="exact"/>
        <w:ind w:firstLine="420" w:firstLineChars="200"/>
        <w:rPr>
          <w:rFonts w:ascii="仿宋" w:hAnsi="仿宋" w:eastAsia="仿宋"/>
        </w:rPr>
      </w:pPr>
      <w:r>
        <w:rPr>
          <w:rFonts w:hint="eastAsia" w:ascii="仿宋" w:hAnsi="仿宋" w:eastAsia="仿宋"/>
        </w:rPr>
        <w:t>3、乙方在每天下班前应有专人落实消防安全检查，做到断水、断电、关窗锁门。</w:t>
      </w:r>
    </w:p>
    <w:p w14:paraId="53816EA5">
      <w:pPr>
        <w:pStyle w:val="82"/>
        <w:adjustRightInd w:val="0"/>
        <w:snapToGrid w:val="0"/>
        <w:spacing w:line="500" w:lineRule="exact"/>
        <w:ind w:firstLine="420" w:firstLineChars="200"/>
        <w:rPr>
          <w:rFonts w:ascii="仿宋" w:hAnsi="仿宋" w:eastAsia="仿宋"/>
        </w:rPr>
      </w:pPr>
      <w:r>
        <w:rPr>
          <w:rFonts w:hint="eastAsia" w:ascii="仿宋" w:hAnsi="仿宋" w:eastAsia="仿宋"/>
        </w:rPr>
        <w:t>4、乙方的各种用电设备、仪器必须保持正常运转，严禁超负荷运行，严禁设备、仪器带病作业。</w:t>
      </w:r>
    </w:p>
    <w:p w14:paraId="70FB9D8A">
      <w:pPr>
        <w:pStyle w:val="82"/>
        <w:adjustRightInd w:val="0"/>
        <w:snapToGrid w:val="0"/>
        <w:spacing w:line="500" w:lineRule="exact"/>
        <w:ind w:firstLine="420" w:firstLineChars="200"/>
        <w:rPr>
          <w:rFonts w:ascii="仿宋" w:hAnsi="仿宋" w:eastAsia="仿宋"/>
        </w:rPr>
      </w:pPr>
      <w:r>
        <w:rPr>
          <w:rFonts w:hint="eastAsia" w:ascii="仿宋" w:hAnsi="仿宋" w:eastAsia="仿宋"/>
        </w:rPr>
        <w:t>5、乙方在安装和修理用电设备、仪器时，应由电工或专业人员进行操作并认真检验。室内电路不准擅自变动，若因工作必须变动时，必须经甲方批准。</w:t>
      </w:r>
    </w:p>
    <w:p w14:paraId="0EA213E3">
      <w:pPr>
        <w:pStyle w:val="82"/>
        <w:adjustRightInd w:val="0"/>
        <w:snapToGrid w:val="0"/>
        <w:spacing w:line="500" w:lineRule="exact"/>
        <w:ind w:firstLine="420" w:firstLineChars="200"/>
        <w:rPr>
          <w:rFonts w:ascii="仿宋" w:hAnsi="仿宋" w:eastAsia="仿宋"/>
        </w:rPr>
      </w:pPr>
      <w:r>
        <w:rPr>
          <w:rFonts w:hint="eastAsia" w:ascii="仿宋" w:hAnsi="仿宋" w:eastAsia="仿宋"/>
        </w:rPr>
        <w:t>6、未经甲方允许，不准使用、添加大功率电器，乙方不准私拉电力线路，以防火灾。不准堆积大量可燃物。</w:t>
      </w:r>
    </w:p>
    <w:p w14:paraId="7BC25C86">
      <w:pPr>
        <w:pStyle w:val="82"/>
        <w:adjustRightInd w:val="0"/>
        <w:snapToGrid w:val="0"/>
        <w:spacing w:line="500" w:lineRule="exact"/>
        <w:ind w:firstLine="420" w:firstLineChars="200"/>
        <w:rPr>
          <w:rFonts w:ascii="仿宋" w:hAnsi="仿宋" w:eastAsia="仿宋"/>
        </w:rPr>
      </w:pPr>
      <w:r>
        <w:rPr>
          <w:rFonts w:hint="eastAsia" w:ascii="仿宋" w:hAnsi="仿宋" w:eastAsia="仿宋"/>
        </w:rPr>
        <w:t>7、乙方不得超过原设备装裱容量和擅自增加用电。</w:t>
      </w:r>
    </w:p>
    <w:p w14:paraId="5510315E">
      <w:pPr>
        <w:pStyle w:val="82"/>
        <w:adjustRightInd w:val="0"/>
        <w:snapToGrid w:val="0"/>
        <w:spacing w:line="500" w:lineRule="exact"/>
        <w:ind w:firstLine="420" w:firstLineChars="200"/>
        <w:rPr>
          <w:rFonts w:ascii="仿宋" w:hAnsi="仿宋" w:eastAsia="仿宋"/>
        </w:rPr>
      </w:pPr>
      <w:r>
        <w:rPr>
          <w:rFonts w:hint="eastAsia" w:ascii="仿宋" w:hAnsi="仿宋" w:eastAsia="仿宋"/>
        </w:rPr>
        <w:t>8、乙方对临时有需要动用明火需求的，需持相关特种作业证复印件、身份证复印件报甲方批准，在具备防范措施的情况下，方可使用。</w:t>
      </w:r>
    </w:p>
    <w:p w14:paraId="1B7F75E0">
      <w:pPr>
        <w:pStyle w:val="82"/>
        <w:adjustRightInd w:val="0"/>
        <w:snapToGrid w:val="0"/>
        <w:spacing w:line="500" w:lineRule="exact"/>
        <w:ind w:firstLine="420" w:firstLineChars="200"/>
        <w:rPr>
          <w:rFonts w:ascii="仿宋" w:hAnsi="仿宋" w:eastAsia="仿宋"/>
        </w:rPr>
      </w:pPr>
      <w:r>
        <w:rPr>
          <w:rFonts w:hint="eastAsia" w:ascii="仿宋" w:hAnsi="仿宋" w:eastAsia="仿宋"/>
        </w:rPr>
        <w:t>9、乙方在使用易燃易爆及其它危险品时，必须提前向甲方申报备案，未经批准，禁止使用和存放。</w:t>
      </w:r>
    </w:p>
    <w:p w14:paraId="69BD988F">
      <w:pPr>
        <w:pStyle w:val="82"/>
        <w:adjustRightInd w:val="0"/>
        <w:snapToGrid w:val="0"/>
        <w:spacing w:line="500" w:lineRule="exact"/>
        <w:ind w:firstLine="420" w:firstLineChars="200"/>
        <w:rPr>
          <w:rFonts w:ascii="仿宋" w:hAnsi="仿宋" w:eastAsia="仿宋"/>
        </w:rPr>
      </w:pPr>
      <w:r>
        <w:rPr>
          <w:rFonts w:hint="eastAsia" w:ascii="仿宋" w:hAnsi="仿宋" w:eastAsia="仿宋"/>
        </w:rPr>
        <w:t>10、乙方应根据实际情况配备足够的消防器材，消防器材要放置在指定地点，不准随意移动或作其他使用，不准在消防器材附近堆放任何物品。乙方要在每月20-25日前对消防器材进行检查，做好检查记录，如发现失效的及时更换。</w:t>
      </w:r>
    </w:p>
    <w:p w14:paraId="4B1F43C3">
      <w:pPr>
        <w:pStyle w:val="82"/>
        <w:adjustRightInd w:val="0"/>
        <w:snapToGrid w:val="0"/>
        <w:spacing w:line="500" w:lineRule="exact"/>
        <w:ind w:firstLine="420" w:firstLineChars="200"/>
        <w:rPr>
          <w:rFonts w:ascii="仿宋" w:hAnsi="仿宋" w:eastAsia="仿宋"/>
        </w:rPr>
      </w:pPr>
      <w:r>
        <w:rPr>
          <w:rFonts w:hint="eastAsia" w:ascii="仿宋" w:hAnsi="仿宋" w:eastAsia="仿宋"/>
        </w:rPr>
        <w:t>11、乙方应制定消防安全规章制度和火灾事故处置预案，在进入甲方现场作业、服务或施工前要对其作业人员进行消防安全防范意识、消防安全规章制度教育，组织乙方员工进行火灾事故处置演习，使其掌握消防安全注意事项、熟悉消防器材的性能及使用方法，掌握熟悉火灾安全事故处置流程和消防应急措施等。</w:t>
      </w:r>
    </w:p>
    <w:p w14:paraId="5B46B941">
      <w:pPr>
        <w:pStyle w:val="82"/>
        <w:adjustRightInd w:val="0"/>
        <w:snapToGrid w:val="0"/>
        <w:spacing w:line="500" w:lineRule="exact"/>
        <w:ind w:firstLine="420" w:firstLineChars="200"/>
        <w:rPr>
          <w:rFonts w:ascii="仿宋" w:hAnsi="仿宋" w:eastAsia="仿宋"/>
        </w:rPr>
      </w:pPr>
      <w:r>
        <w:rPr>
          <w:rFonts w:hint="eastAsia" w:ascii="仿宋" w:hAnsi="仿宋" w:eastAsia="仿宋"/>
        </w:rPr>
        <w:t>12、乙方涉及改造、装修，凡涉及变动原用电、用水线路及管道，或新安装线路的，应事先向甲方申请，并提供改造、装修的线路布置图，以备日后检查、维修。</w:t>
      </w:r>
    </w:p>
    <w:p w14:paraId="3D9755CA">
      <w:pPr>
        <w:pStyle w:val="82"/>
        <w:adjustRightInd w:val="0"/>
        <w:snapToGrid w:val="0"/>
        <w:spacing w:line="500" w:lineRule="exact"/>
        <w:ind w:firstLine="420" w:firstLineChars="200"/>
        <w:rPr>
          <w:rFonts w:ascii="仿宋" w:hAnsi="仿宋" w:eastAsia="仿宋"/>
        </w:rPr>
      </w:pPr>
      <w:r>
        <w:rPr>
          <w:rFonts w:hint="eastAsia" w:ascii="仿宋" w:hAnsi="仿宋" w:eastAsia="仿宋"/>
        </w:rPr>
        <w:t>13、乙方要保护租赁场所的大楼、仓库、场地、楼道以及其他消防通道的畅通，严禁占用、堵塞、封闭安全出口，影响安全消防通道的正常通行。</w:t>
      </w:r>
    </w:p>
    <w:p w14:paraId="03A7FA79">
      <w:pPr>
        <w:pStyle w:val="82"/>
        <w:adjustRightInd w:val="0"/>
        <w:snapToGrid w:val="0"/>
        <w:spacing w:line="500" w:lineRule="exact"/>
        <w:ind w:firstLine="420" w:firstLineChars="200"/>
        <w:rPr>
          <w:rFonts w:ascii="仿宋" w:hAnsi="仿宋" w:eastAsia="仿宋"/>
        </w:rPr>
      </w:pPr>
      <w:r>
        <w:rPr>
          <w:rFonts w:hint="eastAsia" w:ascii="仿宋" w:hAnsi="仿宋" w:eastAsia="仿宋"/>
        </w:rPr>
        <w:t>14、乙方在现场作业或施工过程中要加强对现场的监管，生产、施工场所禁止吸烟。</w:t>
      </w:r>
    </w:p>
    <w:p w14:paraId="085D853E">
      <w:pPr>
        <w:pStyle w:val="82"/>
        <w:adjustRightInd w:val="0"/>
        <w:snapToGrid w:val="0"/>
        <w:spacing w:line="500" w:lineRule="exact"/>
        <w:ind w:firstLine="420" w:firstLineChars="200"/>
        <w:rPr>
          <w:rFonts w:ascii="仿宋" w:hAnsi="仿宋" w:eastAsia="仿宋"/>
        </w:rPr>
      </w:pPr>
      <w:r>
        <w:rPr>
          <w:rFonts w:hint="eastAsia" w:ascii="仿宋" w:hAnsi="仿宋" w:eastAsia="仿宋"/>
        </w:rPr>
        <w:t>15、乙方严禁出现“三合一”情况，不得擅自改变租赁场所的用途。</w:t>
      </w:r>
    </w:p>
    <w:p w14:paraId="48E46475">
      <w:pPr>
        <w:pStyle w:val="82"/>
        <w:adjustRightInd w:val="0"/>
        <w:snapToGrid w:val="0"/>
        <w:spacing w:line="500" w:lineRule="exact"/>
        <w:ind w:firstLine="420" w:firstLineChars="200"/>
        <w:rPr>
          <w:rFonts w:ascii="仿宋" w:hAnsi="仿宋" w:eastAsia="仿宋"/>
        </w:rPr>
      </w:pPr>
      <w:r>
        <w:rPr>
          <w:rFonts w:hint="eastAsia" w:ascii="仿宋" w:hAnsi="仿宋" w:eastAsia="仿宋"/>
        </w:rPr>
        <w:t>16、凡违反本规定或国家相关规定而引起火灾或其它事故，一切责任及经济赔偿由乙方负责，与甲方无涉。因乙方未尽消防安全义务和责任导致甲方损失的，乙方应赔偿甲方损失。</w:t>
      </w:r>
    </w:p>
    <w:p w14:paraId="3C985C95">
      <w:pPr>
        <w:pStyle w:val="82"/>
        <w:adjustRightInd w:val="0"/>
        <w:snapToGrid w:val="0"/>
        <w:spacing w:line="500" w:lineRule="exact"/>
        <w:ind w:firstLine="420" w:firstLineChars="200"/>
        <w:rPr>
          <w:rFonts w:ascii="仿宋" w:hAnsi="仿宋" w:eastAsia="仿宋"/>
        </w:rPr>
      </w:pPr>
      <w:r>
        <w:rPr>
          <w:rFonts w:hint="eastAsia" w:ascii="仿宋" w:hAnsi="仿宋" w:eastAsia="仿宋"/>
        </w:rPr>
        <w:t>三、本协议有效期与甲乙双方签订的《主合同》一致，无《主合同》的，在签署当年有效。</w:t>
      </w:r>
    </w:p>
    <w:p w14:paraId="31F55094">
      <w:pPr>
        <w:pStyle w:val="82"/>
        <w:adjustRightInd w:val="0"/>
        <w:snapToGrid w:val="0"/>
        <w:spacing w:line="500" w:lineRule="exact"/>
        <w:ind w:firstLine="420" w:firstLineChars="200"/>
        <w:rPr>
          <w:rFonts w:ascii="仿宋" w:hAnsi="仿宋" w:eastAsia="仿宋"/>
        </w:rPr>
      </w:pPr>
      <w:r>
        <w:rPr>
          <w:rFonts w:hint="eastAsia" w:ascii="仿宋" w:hAnsi="仿宋" w:eastAsia="仿宋"/>
        </w:rPr>
        <w:t>四、本协议书一式二份，甲乙双方各执一份。</w:t>
      </w:r>
    </w:p>
    <w:p w14:paraId="48CF98CC">
      <w:pPr>
        <w:pStyle w:val="82"/>
        <w:adjustRightInd w:val="0"/>
        <w:snapToGrid w:val="0"/>
        <w:spacing w:line="500" w:lineRule="exact"/>
        <w:ind w:firstLine="420" w:firstLineChars="200"/>
        <w:rPr>
          <w:rFonts w:ascii="仿宋" w:hAnsi="仿宋" w:eastAsia="仿宋"/>
        </w:rPr>
      </w:pPr>
      <w:r>
        <w:rPr>
          <w:rFonts w:hint="eastAsia" w:ascii="仿宋" w:hAnsi="仿宋" w:eastAsia="仿宋"/>
        </w:rPr>
        <w:t xml:space="preserve"> </w:t>
      </w:r>
    </w:p>
    <w:p w14:paraId="78D38CFC">
      <w:pPr>
        <w:pStyle w:val="82"/>
        <w:adjustRightInd w:val="0"/>
        <w:snapToGrid w:val="0"/>
        <w:spacing w:line="500" w:lineRule="exact"/>
        <w:ind w:firstLine="420" w:firstLineChars="200"/>
        <w:rPr>
          <w:rFonts w:ascii="仿宋" w:hAnsi="仿宋" w:eastAsia="仿宋"/>
        </w:rPr>
      </w:pPr>
      <w:r>
        <w:rPr>
          <w:rFonts w:hint="eastAsia" w:ascii="仿宋" w:hAnsi="仿宋" w:eastAsia="仿宋"/>
        </w:rPr>
        <w:t>甲方代表（签字盖章）：                乙方代表（签字盖章）：</w:t>
      </w:r>
    </w:p>
    <w:p w14:paraId="06E1C7FA">
      <w:pPr>
        <w:pStyle w:val="82"/>
        <w:adjustRightInd w:val="0"/>
        <w:snapToGrid w:val="0"/>
        <w:spacing w:line="500" w:lineRule="exact"/>
        <w:ind w:firstLine="420" w:firstLineChars="200"/>
        <w:rPr>
          <w:rFonts w:ascii="仿宋" w:hAnsi="仿宋" w:eastAsia="仿宋"/>
        </w:rPr>
      </w:pPr>
      <w:r>
        <w:rPr>
          <w:rFonts w:hint="eastAsia" w:ascii="仿宋" w:hAnsi="仿宋" w:eastAsia="仿宋"/>
        </w:rPr>
        <w:t>联系电话：                            联系电话：</w:t>
      </w:r>
    </w:p>
    <w:p w14:paraId="7B92C5D7">
      <w:pPr>
        <w:pStyle w:val="82"/>
        <w:adjustRightInd w:val="0"/>
        <w:snapToGrid w:val="0"/>
        <w:spacing w:line="500" w:lineRule="exact"/>
        <w:ind w:firstLine="420" w:firstLineChars="200"/>
        <w:rPr>
          <w:rFonts w:ascii="仿宋" w:hAnsi="仿宋" w:eastAsia="仿宋"/>
        </w:rPr>
      </w:pPr>
      <w:r>
        <w:rPr>
          <w:rFonts w:hint="eastAsia" w:ascii="仿宋" w:hAnsi="仿宋" w:eastAsia="仿宋"/>
        </w:rPr>
        <w:t xml:space="preserve"> </w:t>
      </w:r>
    </w:p>
    <w:p w14:paraId="64F7E4DE">
      <w:pPr>
        <w:pStyle w:val="82"/>
        <w:adjustRightInd w:val="0"/>
        <w:snapToGrid w:val="0"/>
        <w:spacing w:line="500" w:lineRule="exact"/>
        <w:ind w:firstLine="420" w:firstLineChars="200"/>
        <w:jc w:val="right"/>
        <w:rPr>
          <w:rFonts w:ascii="仿宋" w:hAnsi="仿宋" w:eastAsia="仿宋"/>
        </w:rPr>
      </w:pPr>
      <w:r>
        <w:rPr>
          <w:rFonts w:hint="eastAsia" w:ascii="仿宋" w:hAnsi="仿宋" w:eastAsia="仿宋"/>
        </w:rPr>
        <w:t>年</w:t>
      </w:r>
      <w:r>
        <w:rPr>
          <w:rFonts w:hint="eastAsia" w:ascii="仿宋" w:hAnsi="仿宋" w:eastAsia="仿宋"/>
        </w:rPr>
        <w:tab/>
      </w:r>
      <w:r>
        <w:rPr>
          <w:rFonts w:hint="eastAsia" w:ascii="仿宋" w:hAnsi="仿宋" w:eastAsia="仿宋"/>
        </w:rPr>
        <w:t xml:space="preserve">月 </w:t>
      </w:r>
      <w:r>
        <w:rPr>
          <w:rFonts w:hint="eastAsia" w:ascii="仿宋" w:hAnsi="仿宋" w:eastAsia="仿宋"/>
        </w:rPr>
        <w:tab/>
      </w:r>
      <w:r>
        <w:rPr>
          <w:rFonts w:hint="eastAsia" w:ascii="仿宋" w:hAnsi="仿宋" w:eastAsia="仿宋"/>
        </w:rPr>
        <w:t>日</w:t>
      </w:r>
    </w:p>
    <w:p w14:paraId="152B1BBF">
      <w:pPr>
        <w:spacing w:line="440" w:lineRule="exact"/>
        <w:jc w:val="center"/>
        <w:rPr>
          <w:rFonts w:ascii="仿宋" w:hAnsi="仿宋" w:eastAsia="仿宋" w:cs="仿宋"/>
          <w:szCs w:val="21"/>
          <w:u w:val="single"/>
        </w:rPr>
      </w:pPr>
      <w:r>
        <w:rPr>
          <w:rFonts w:hint="eastAsia" w:ascii="仿宋" w:hAnsi="仿宋" w:eastAsia="仿宋" w:cs="仿宋"/>
          <w:szCs w:val="21"/>
        </w:rPr>
        <w:t xml:space="preserve">                          承诺人（签字/盖章）：</w:t>
      </w:r>
      <w:r>
        <w:rPr>
          <w:rFonts w:hint="eastAsia" w:ascii="仿宋" w:hAnsi="仿宋" w:eastAsia="仿宋" w:cs="仿宋"/>
          <w:szCs w:val="21"/>
          <w:u w:val="single"/>
        </w:rPr>
        <w:t xml:space="preserve">       </w:t>
      </w:r>
    </w:p>
    <w:p w14:paraId="71BF0947">
      <w:pPr>
        <w:spacing w:line="440" w:lineRule="exact"/>
        <w:ind w:firstLine="420" w:firstLineChars="200"/>
        <w:jc w:val="right"/>
        <w:rPr>
          <w:rFonts w:ascii="仿宋" w:hAnsi="仿宋" w:eastAsia="仿宋" w:cs="仿宋"/>
          <w:szCs w:val="21"/>
        </w:rPr>
      </w:pPr>
      <w:r>
        <w:rPr>
          <w:rFonts w:hint="eastAsia" w:ascii="仿宋" w:hAnsi="仿宋" w:eastAsia="仿宋" w:cs="仿宋"/>
          <w:szCs w:val="21"/>
          <w:u w:val="single"/>
        </w:rPr>
        <w:t xml:space="preserve">    </w:t>
      </w:r>
      <w:r>
        <w:rPr>
          <w:rFonts w:hint="eastAsia" w:ascii="仿宋" w:hAnsi="仿宋" w:eastAsia="仿宋" w:cs="仿宋"/>
          <w:szCs w:val="21"/>
        </w:rPr>
        <w:t>年</w:t>
      </w:r>
      <w:r>
        <w:rPr>
          <w:rFonts w:hint="eastAsia" w:ascii="仿宋" w:hAnsi="仿宋" w:eastAsia="仿宋" w:cs="仿宋"/>
          <w:szCs w:val="21"/>
          <w:u w:val="single"/>
        </w:rPr>
        <w:t xml:space="preserve">    </w:t>
      </w:r>
      <w:r>
        <w:rPr>
          <w:rFonts w:hint="eastAsia" w:ascii="仿宋" w:hAnsi="仿宋" w:eastAsia="仿宋" w:cs="仿宋"/>
          <w:szCs w:val="21"/>
        </w:rPr>
        <w:t>月</w:t>
      </w:r>
      <w:r>
        <w:rPr>
          <w:rFonts w:hint="eastAsia" w:ascii="仿宋" w:hAnsi="仿宋" w:eastAsia="仿宋" w:cs="仿宋"/>
          <w:szCs w:val="21"/>
          <w:u w:val="single"/>
        </w:rPr>
        <w:t xml:space="preserve">    </w:t>
      </w:r>
      <w:r>
        <w:rPr>
          <w:rFonts w:hint="eastAsia" w:ascii="仿宋" w:hAnsi="仿宋" w:eastAsia="仿宋" w:cs="仿宋"/>
          <w:szCs w:val="21"/>
        </w:rPr>
        <w:t>日</w:t>
      </w:r>
    </w:p>
    <w:p w14:paraId="25B3C1D3">
      <w:pPr>
        <w:pStyle w:val="82"/>
        <w:adjustRightInd w:val="0"/>
        <w:snapToGrid w:val="0"/>
        <w:spacing w:line="500" w:lineRule="exact"/>
        <w:ind w:firstLine="420" w:firstLineChars="200"/>
        <w:jc w:val="left"/>
        <w:rPr>
          <w:rFonts w:ascii="仿宋" w:hAnsi="仿宋" w:eastAsia="仿宋"/>
        </w:rPr>
      </w:pPr>
    </w:p>
    <w:p w14:paraId="493B58D1">
      <w:pPr>
        <w:pStyle w:val="82"/>
        <w:adjustRightInd w:val="0"/>
        <w:snapToGrid w:val="0"/>
        <w:spacing w:line="500" w:lineRule="exact"/>
        <w:ind w:firstLine="420" w:firstLineChars="200"/>
        <w:jc w:val="left"/>
        <w:rPr>
          <w:rFonts w:ascii="仿宋" w:hAnsi="仿宋" w:eastAsia="仿宋"/>
        </w:rPr>
      </w:pPr>
    </w:p>
    <w:p w14:paraId="248241F0">
      <w:pPr>
        <w:pStyle w:val="82"/>
        <w:adjustRightInd w:val="0"/>
        <w:snapToGrid w:val="0"/>
        <w:spacing w:line="500" w:lineRule="exact"/>
        <w:ind w:firstLine="420" w:firstLineChars="200"/>
        <w:jc w:val="left"/>
        <w:rPr>
          <w:rFonts w:ascii="仿宋" w:hAnsi="仿宋" w:eastAsia="仿宋"/>
        </w:rPr>
      </w:pPr>
    </w:p>
    <w:p w14:paraId="4201D784">
      <w:pPr>
        <w:pStyle w:val="82"/>
        <w:adjustRightInd w:val="0"/>
        <w:snapToGrid w:val="0"/>
        <w:spacing w:line="500" w:lineRule="exact"/>
        <w:ind w:firstLine="420" w:firstLineChars="200"/>
        <w:jc w:val="left"/>
        <w:rPr>
          <w:rFonts w:ascii="仿宋" w:hAnsi="仿宋" w:eastAsia="仿宋"/>
        </w:rPr>
      </w:pPr>
    </w:p>
    <w:p w14:paraId="3B4021B6">
      <w:pPr>
        <w:pStyle w:val="82"/>
        <w:adjustRightInd w:val="0"/>
        <w:snapToGrid w:val="0"/>
        <w:spacing w:line="500" w:lineRule="exact"/>
        <w:ind w:firstLine="420" w:firstLineChars="200"/>
        <w:jc w:val="left"/>
        <w:rPr>
          <w:rFonts w:ascii="仿宋" w:hAnsi="仿宋" w:eastAsia="仿宋"/>
        </w:rPr>
      </w:pPr>
    </w:p>
    <w:p w14:paraId="18D16373">
      <w:pPr>
        <w:pStyle w:val="82"/>
        <w:adjustRightInd w:val="0"/>
        <w:snapToGrid w:val="0"/>
        <w:spacing w:line="500" w:lineRule="exact"/>
        <w:ind w:firstLine="420" w:firstLineChars="200"/>
        <w:jc w:val="left"/>
        <w:rPr>
          <w:rFonts w:ascii="仿宋" w:hAnsi="仿宋" w:eastAsia="仿宋"/>
        </w:rPr>
      </w:pPr>
    </w:p>
    <w:p w14:paraId="49ECB6D3">
      <w:pPr>
        <w:pStyle w:val="82"/>
        <w:adjustRightInd w:val="0"/>
        <w:snapToGrid w:val="0"/>
        <w:spacing w:line="500" w:lineRule="exact"/>
        <w:ind w:firstLine="420" w:firstLineChars="200"/>
        <w:jc w:val="left"/>
        <w:rPr>
          <w:rFonts w:ascii="仿宋" w:hAnsi="仿宋" w:eastAsia="仿宋"/>
        </w:rPr>
      </w:pPr>
    </w:p>
    <w:p w14:paraId="6DE790E4">
      <w:pPr>
        <w:pStyle w:val="82"/>
        <w:adjustRightInd w:val="0"/>
        <w:snapToGrid w:val="0"/>
        <w:spacing w:line="500" w:lineRule="exact"/>
        <w:ind w:firstLine="420" w:firstLineChars="200"/>
        <w:jc w:val="left"/>
        <w:rPr>
          <w:rFonts w:ascii="仿宋" w:hAnsi="仿宋" w:eastAsia="仿宋"/>
        </w:rPr>
      </w:pPr>
    </w:p>
    <w:p w14:paraId="4A376600">
      <w:pPr>
        <w:pStyle w:val="82"/>
        <w:adjustRightInd w:val="0"/>
        <w:snapToGrid w:val="0"/>
        <w:spacing w:line="500" w:lineRule="exact"/>
        <w:ind w:firstLine="420" w:firstLineChars="200"/>
        <w:jc w:val="left"/>
        <w:rPr>
          <w:rFonts w:ascii="仿宋" w:hAnsi="仿宋" w:eastAsia="仿宋"/>
        </w:rPr>
      </w:pPr>
    </w:p>
    <w:p w14:paraId="2C460329">
      <w:pPr>
        <w:pStyle w:val="82"/>
        <w:adjustRightInd w:val="0"/>
        <w:snapToGrid w:val="0"/>
        <w:spacing w:line="500" w:lineRule="exact"/>
        <w:ind w:firstLine="420" w:firstLineChars="200"/>
        <w:jc w:val="left"/>
        <w:rPr>
          <w:rFonts w:ascii="仿宋" w:hAnsi="仿宋" w:eastAsia="仿宋"/>
        </w:rPr>
      </w:pPr>
    </w:p>
    <w:p w14:paraId="21A8BB09">
      <w:pPr>
        <w:pStyle w:val="82"/>
        <w:adjustRightInd w:val="0"/>
        <w:snapToGrid w:val="0"/>
        <w:spacing w:line="500" w:lineRule="exact"/>
        <w:ind w:firstLine="420" w:firstLineChars="200"/>
        <w:jc w:val="left"/>
        <w:rPr>
          <w:rFonts w:ascii="仿宋" w:hAnsi="仿宋" w:eastAsia="仿宋"/>
        </w:rPr>
      </w:pPr>
    </w:p>
    <w:p w14:paraId="0B84BE79">
      <w:pPr>
        <w:pStyle w:val="82"/>
        <w:adjustRightInd w:val="0"/>
        <w:snapToGrid w:val="0"/>
        <w:spacing w:line="500" w:lineRule="exact"/>
        <w:ind w:firstLine="420" w:firstLineChars="200"/>
        <w:jc w:val="left"/>
        <w:rPr>
          <w:rFonts w:ascii="仿宋" w:hAnsi="仿宋" w:eastAsia="仿宋"/>
        </w:rPr>
      </w:pPr>
    </w:p>
    <w:p w14:paraId="3C35DB22">
      <w:pPr>
        <w:pStyle w:val="82"/>
        <w:adjustRightInd w:val="0"/>
        <w:snapToGrid w:val="0"/>
        <w:spacing w:line="500" w:lineRule="exact"/>
        <w:ind w:firstLine="420" w:firstLineChars="200"/>
        <w:jc w:val="left"/>
        <w:rPr>
          <w:rFonts w:ascii="仿宋" w:hAnsi="仿宋" w:eastAsia="仿宋"/>
        </w:rPr>
      </w:pPr>
    </w:p>
    <w:p w14:paraId="7C709B13">
      <w:r>
        <w:rPr>
          <w:rFonts w:hint="eastAsia"/>
        </w:rPr>
        <w:br w:type="page"/>
      </w:r>
    </w:p>
    <w:p w14:paraId="45DE46A2">
      <w:pPr>
        <w:pStyle w:val="21"/>
        <w:outlineLvl w:val="0"/>
      </w:pPr>
      <w:bookmarkStart w:id="71" w:name="_Toc6042"/>
      <w:r>
        <w:rPr>
          <w:rFonts w:hint="eastAsia"/>
        </w:rPr>
        <w:t>第六章投标文件格式</w:t>
      </w:r>
      <w:bookmarkEnd w:id="70"/>
      <w:bookmarkEnd w:id="71"/>
    </w:p>
    <w:p w14:paraId="4FBFB004">
      <w:pPr>
        <w:spacing w:before="156" w:beforeLines="50" w:after="156" w:afterLines="50"/>
        <w:rPr>
          <w:rFonts w:ascii="宋体" w:hAnsi="宋体"/>
          <w:sz w:val="22"/>
          <w:szCs w:val="22"/>
        </w:rPr>
      </w:pPr>
      <w:bookmarkStart w:id="72" w:name="_Toc465107615"/>
      <w:bookmarkStart w:id="73" w:name="_Toc152042576"/>
      <w:bookmarkStart w:id="74" w:name="_Toc152045787"/>
      <w:bookmarkStart w:id="75" w:name="_Toc144974856"/>
      <w:bookmarkStart w:id="76" w:name="_Toc247514246"/>
      <w:bookmarkStart w:id="77" w:name="_Toc247527827"/>
      <w:r>
        <w:rPr>
          <w:rFonts w:hint="eastAsia" w:ascii="宋体" w:hAnsi="宋体"/>
          <w:sz w:val="22"/>
          <w:szCs w:val="22"/>
        </w:rPr>
        <w:t>（资格审查文件封面，供参考）</w:t>
      </w:r>
    </w:p>
    <w:p w14:paraId="714DD200">
      <w:pPr>
        <w:spacing w:before="156" w:beforeLines="50" w:after="156" w:afterLines="50"/>
        <w:rPr>
          <w:rFonts w:ascii="宋体" w:hAnsi="宋体"/>
          <w:sz w:val="22"/>
          <w:szCs w:val="22"/>
        </w:rPr>
      </w:pPr>
    </w:p>
    <w:p w14:paraId="319760AD">
      <w:pPr>
        <w:rPr>
          <w:rFonts w:ascii="宋体" w:hAnsi="宋体" w:cs="新宋体"/>
        </w:rPr>
      </w:pPr>
    </w:p>
    <w:p w14:paraId="7F5B331B">
      <w:pPr>
        <w:rPr>
          <w:rFonts w:ascii="宋体" w:hAnsi="宋体" w:cs="新宋体"/>
        </w:rPr>
      </w:pPr>
    </w:p>
    <w:p w14:paraId="1BE04B2E">
      <w:pPr>
        <w:rPr>
          <w:rFonts w:ascii="宋体" w:hAnsi="宋体" w:cs="新宋体"/>
        </w:rPr>
      </w:pPr>
    </w:p>
    <w:p w14:paraId="537C383C">
      <w:pPr>
        <w:jc w:val="center"/>
        <w:rPr>
          <w:rFonts w:ascii="宋体" w:hAnsi="宋体" w:cs="新宋体"/>
          <w:sz w:val="28"/>
          <w:szCs w:val="28"/>
        </w:rPr>
      </w:pPr>
      <w:r>
        <w:rPr>
          <w:rFonts w:hint="eastAsia" w:ascii="宋体" w:hAnsi="宋体" w:cs="新宋体"/>
          <w:sz w:val="28"/>
          <w:szCs w:val="28"/>
          <w:u w:val="single"/>
        </w:rPr>
        <w:t>（项目名称）</w:t>
      </w:r>
      <w:r>
        <w:rPr>
          <w:rFonts w:hint="eastAsia" w:ascii="宋体" w:hAnsi="宋体" w:cs="新宋体"/>
          <w:sz w:val="28"/>
          <w:szCs w:val="28"/>
        </w:rPr>
        <w:t>投标文件</w:t>
      </w:r>
    </w:p>
    <w:p w14:paraId="383336F2">
      <w:pPr>
        <w:rPr>
          <w:rFonts w:ascii="宋体" w:hAnsi="宋体" w:cs="新宋体"/>
          <w:sz w:val="28"/>
          <w:szCs w:val="28"/>
        </w:rPr>
      </w:pPr>
    </w:p>
    <w:p w14:paraId="1A80A71E">
      <w:pPr>
        <w:rPr>
          <w:rFonts w:ascii="宋体" w:hAnsi="宋体" w:cs="新宋体"/>
          <w:sz w:val="28"/>
          <w:szCs w:val="28"/>
        </w:rPr>
      </w:pPr>
    </w:p>
    <w:p w14:paraId="72C3CD2F">
      <w:pPr>
        <w:pStyle w:val="9"/>
        <w:ind w:firstLine="280"/>
        <w:rPr>
          <w:rFonts w:ascii="宋体" w:hAnsi="宋体" w:cs="新宋体"/>
          <w:sz w:val="28"/>
          <w:szCs w:val="28"/>
        </w:rPr>
      </w:pPr>
    </w:p>
    <w:p w14:paraId="7D05E3BF">
      <w:pPr>
        <w:rPr>
          <w:rFonts w:ascii="宋体" w:hAnsi="宋体" w:cs="新宋体"/>
          <w:sz w:val="28"/>
          <w:szCs w:val="28"/>
        </w:rPr>
      </w:pPr>
    </w:p>
    <w:p w14:paraId="1E587423">
      <w:pPr>
        <w:spacing w:line="360" w:lineRule="auto"/>
        <w:jc w:val="center"/>
        <w:outlineLvl w:val="1"/>
        <w:rPr>
          <w:rFonts w:ascii="宋体" w:hAnsi="宋体" w:cs="新宋体"/>
          <w:sz w:val="52"/>
          <w:szCs w:val="52"/>
        </w:rPr>
      </w:pPr>
      <w:r>
        <w:rPr>
          <w:rFonts w:hint="eastAsia" w:ascii="宋体" w:hAnsi="宋体" w:cs="新宋体"/>
          <w:sz w:val="52"/>
          <w:szCs w:val="52"/>
        </w:rPr>
        <w:t>资格审查文件</w:t>
      </w:r>
    </w:p>
    <w:p w14:paraId="604C8E7F">
      <w:pPr>
        <w:spacing w:line="360" w:lineRule="auto"/>
        <w:rPr>
          <w:rFonts w:ascii="宋体" w:hAnsi="宋体" w:cs="新宋体"/>
          <w:szCs w:val="21"/>
        </w:rPr>
      </w:pPr>
    </w:p>
    <w:p w14:paraId="17C21CA7">
      <w:pPr>
        <w:spacing w:line="360" w:lineRule="auto"/>
        <w:rPr>
          <w:rFonts w:ascii="宋体" w:hAnsi="宋体" w:cs="新宋体"/>
          <w:szCs w:val="21"/>
        </w:rPr>
      </w:pPr>
    </w:p>
    <w:p w14:paraId="1DAEC796">
      <w:pPr>
        <w:pStyle w:val="8"/>
        <w:rPr>
          <w:rFonts w:ascii="宋体" w:hAnsi="宋体" w:cs="新宋体"/>
          <w:szCs w:val="21"/>
        </w:rPr>
      </w:pPr>
    </w:p>
    <w:p w14:paraId="14B9DBAD">
      <w:pPr>
        <w:pStyle w:val="9"/>
        <w:ind w:firstLine="210"/>
      </w:pPr>
    </w:p>
    <w:p w14:paraId="44A82C12">
      <w:pPr>
        <w:spacing w:line="360" w:lineRule="auto"/>
        <w:rPr>
          <w:rFonts w:ascii="宋体" w:hAnsi="宋体" w:cs="新宋体"/>
          <w:szCs w:val="21"/>
        </w:rPr>
      </w:pPr>
    </w:p>
    <w:p w14:paraId="0A29B603">
      <w:pPr>
        <w:pStyle w:val="9"/>
        <w:ind w:firstLine="210"/>
        <w:rPr>
          <w:rFonts w:ascii="宋体" w:hAnsi="宋体"/>
        </w:rPr>
      </w:pPr>
    </w:p>
    <w:p w14:paraId="18FBC2C3">
      <w:pPr>
        <w:pStyle w:val="9"/>
        <w:ind w:firstLine="210"/>
        <w:rPr>
          <w:rFonts w:ascii="宋体" w:hAnsi="宋体"/>
        </w:rPr>
      </w:pPr>
    </w:p>
    <w:p w14:paraId="0912D986">
      <w:pPr>
        <w:jc w:val="center"/>
        <w:rPr>
          <w:rFonts w:ascii="宋体" w:hAnsi="宋体" w:cs="新宋体"/>
          <w:sz w:val="28"/>
          <w:szCs w:val="28"/>
        </w:rPr>
      </w:pPr>
      <w:r>
        <w:rPr>
          <w:rFonts w:hint="eastAsia" w:ascii="宋体" w:hAnsi="宋体" w:cs="新宋体"/>
          <w:sz w:val="28"/>
          <w:szCs w:val="28"/>
        </w:rPr>
        <w:t>投标人：（盖单位章）</w:t>
      </w:r>
    </w:p>
    <w:p w14:paraId="19C6BB1E">
      <w:pPr>
        <w:rPr>
          <w:rFonts w:ascii="宋体" w:hAnsi="宋体" w:cs="新宋体"/>
          <w:sz w:val="28"/>
          <w:szCs w:val="28"/>
          <w:u w:val="single"/>
        </w:rPr>
      </w:pPr>
    </w:p>
    <w:p w14:paraId="1372E950">
      <w:pPr>
        <w:jc w:val="center"/>
        <w:rPr>
          <w:rFonts w:ascii="宋体" w:hAnsi="宋体" w:cs="新宋体"/>
          <w:sz w:val="28"/>
          <w:szCs w:val="28"/>
        </w:rPr>
      </w:pPr>
      <w:r>
        <w:rPr>
          <w:rFonts w:hint="eastAsia" w:ascii="宋体" w:hAnsi="宋体" w:cs="新宋体"/>
          <w:sz w:val="28"/>
          <w:szCs w:val="28"/>
        </w:rPr>
        <w:t>法定代表人或授权代表：（签字或盖章）</w:t>
      </w:r>
    </w:p>
    <w:p w14:paraId="2982C0A3">
      <w:pPr>
        <w:rPr>
          <w:rFonts w:ascii="宋体" w:hAnsi="宋体" w:cs="新宋体"/>
          <w:sz w:val="28"/>
          <w:szCs w:val="28"/>
        </w:rPr>
      </w:pPr>
    </w:p>
    <w:p w14:paraId="4DCC8247">
      <w:pPr>
        <w:jc w:val="center"/>
        <w:rPr>
          <w:rFonts w:ascii="宋体" w:hAnsi="宋体" w:cs="新宋体"/>
          <w:sz w:val="28"/>
          <w:szCs w:val="28"/>
        </w:rPr>
      </w:pPr>
      <w:r>
        <w:rPr>
          <w:rFonts w:hint="eastAsia" w:ascii="宋体" w:hAnsi="宋体" w:cs="新宋体"/>
          <w:sz w:val="28"/>
          <w:szCs w:val="28"/>
        </w:rPr>
        <w:t xml:space="preserve">年 </w:t>
      </w:r>
      <w:r>
        <w:rPr>
          <w:rFonts w:ascii="宋体" w:hAnsi="宋体" w:cs="新宋体"/>
          <w:sz w:val="28"/>
          <w:szCs w:val="28"/>
        </w:rPr>
        <w:t xml:space="preserve"> </w:t>
      </w:r>
      <w:r>
        <w:rPr>
          <w:rFonts w:hint="eastAsia" w:ascii="宋体" w:hAnsi="宋体" w:cs="新宋体"/>
          <w:sz w:val="28"/>
          <w:szCs w:val="28"/>
        </w:rPr>
        <w:t xml:space="preserve">月 </w:t>
      </w:r>
      <w:r>
        <w:rPr>
          <w:rFonts w:ascii="宋体" w:hAnsi="宋体" w:cs="新宋体"/>
          <w:sz w:val="28"/>
          <w:szCs w:val="28"/>
        </w:rPr>
        <w:t xml:space="preserve"> </w:t>
      </w:r>
      <w:r>
        <w:rPr>
          <w:rFonts w:hint="eastAsia" w:ascii="宋体" w:hAnsi="宋体" w:cs="新宋体"/>
          <w:sz w:val="28"/>
          <w:szCs w:val="28"/>
        </w:rPr>
        <w:t>日</w:t>
      </w:r>
    </w:p>
    <w:p w14:paraId="4EFEEFE1">
      <w:pPr>
        <w:tabs>
          <w:tab w:val="left" w:pos="360"/>
        </w:tabs>
        <w:spacing w:line="460" w:lineRule="exact"/>
        <w:rPr>
          <w:rFonts w:ascii="宋体" w:hAnsi="宋体"/>
          <w:b/>
          <w:color w:val="000000"/>
          <w:sz w:val="28"/>
          <w:szCs w:val="28"/>
        </w:rPr>
      </w:pPr>
      <w:r>
        <w:rPr>
          <w:rFonts w:hint="eastAsia" w:ascii="宋体" w:hAnsi="宋体" w:cs="宋体"/>
        </w:rPr>
        <w:br w:type="page"/>
      </w:r>
    </w:p>
    <w:p w14:paraId="024D4315">
      <w:pPr>
        <w:jc w:val="center"/>
        <w:outlineLvl w:val="2"/>
        <w:rPr>
          <w:rFonts w:ascii="宋体" w:hAnsi="宋体" w:cs="新宋体"/>
          <w:b/>
          <w:bCs/>
          <w:sz w:val="52"/>
          <w:szCs w:val="52"/>
        </w:rPr>
      </w:pPr>
      <w:r>
        <w:rPr>
          <w:rFonts w:hint="eastAsia" w:ascii="宋体" w:hAnsi="宋体" w:cs="新宋体"/>
          <w:b/>
          <w:bCs/>
          <w:sz w:val="52"/>
          <w:szCs w:val="52"/>
        </w:rPr>
        <w:t>目    录</w:t>
      </w:r>
      <w:bookmarkEnd w:id="72"/>
      <w:bookmarkEnd w:id="73"/>
      <w:bookmarkEnd w:id="74"/>
      <w:bookmarkEnd w:id="75"/>
      <w:bookmarkEnd w:id="76"/>
      <w:bookmarkEnd w:id="77"/>
    </w:p>
    <w:p w14:paraId="0490F04F">
      <w:pPr>
        <w:pStyle w:val="9"/>
        <w:ind w:firstLine="0" w:firstLineChars="0"/>
        <w:rPr>
          <w:rFonts w:ascii="宋体" w:hAnsi="宋体"/>
          <w:sz w:val="22"/>
          <w:szCs w:val="22"/>
        </w:rPr>
      </w:pPr>
    </w:p>
    <w:p w14:paraId="75F50DA3">
      <w:pPr>
        <w:spacing w:line="460" w:lineRule="exact"/>
        <w:rPr>
          <w:rFonts w:ascii="宋体" w:hAnsi="宋体" w:cs="新宋体"/>
          <w:sz w:val="22"/>
          <w:szCs w:val="22"/>
        </w:rPr>
      </w:pPr>
      <w:r>
        <w:rPr>
          <w:rFonts w:hint="eastAsia" w:ascii="宋体" w:hAnsi="宋体" w:cs="新宋体"/>
          <w:sz w:val="22"/>
          <w:szCs w:val="22"/>
        </w:rPr>
        <w:t>1.1   法定代表人授权委托书</w:t>
      </w:r>
    </w:p>
    <w:p w14:paraId="14392208">
      <w:pPr>
        <w:spacing w:line="460" w:lineRule="exact"/>
        <w:rPr>
          <w:rFonts w:ascii="宋体" w:hAnsi="宋体" w:cs="新宋体"/>
          <w:sz w:val="22"/>
          <w:szCs w:val="22"/>
        </w:rPr>
      </w:pPr>
      <w:r>
        <w:rPr>
          <w:rFonts w:hint="eastAsia" w:ascii="宋体" w:hAnsi="宋体" w:cs="新宋体"/>
          <w:sz w:val="22"/>
          <w:szCs w:val="22"/>
        </w:rPr>
        <w:t>1.2   法定代表人资格证明书</w:t>
      </w:r>
      <w:r>
        <w:rPr>
          <w:rFonts w:hint="eastAsia" w:ascii="宋体" w:hAnsi="宋体" w:cs="新宋体"/>
          <w:sz w:val="22"/>
          <w:szCs w:val="22"/>
        </w:rPr>
        <w:cr/>
      </w:r>
      <w:r>
        <w:rPr>
          <w:rFonts w:hint="eastAsia" w:ascii="宋体" w:hAnsi="宋体" w:cs="新宋体"/>
          <w:sz w:val="22"/>
          <w:szCs w:val="22"/>
        </w:rPr>
        <w:t>2   投标声明书</w:t>
      </w:r>
      <w:r>
        <w:rPr>
          <w:rFonts w:hint="eastAsia" w:ascii="宋体" w:hAnsi="宋体" w:cs="新宋体"/>
          <w:sz w:val="22"/>
          <w:szCs w:val="22"/>
        </w:rPr>
        <w:cr/>
      </w:r>
      <w:r>
        <w:rPr>
          <w:rFonts w:hint="eastAsia" w:ascii="宋体" w:hAnsi="宋体" w:cs="新宋体"/>
          <w:sz w:val="22"/>
          <w:szCs w:val="22"/>
        </w:rPr>
        <w:t>3   营业执照(或事业法人登记证书或其它工商等登记证明材料)</w:t>
      </w:r>
    </w:p>
    <w:p w14:paraId="2B365CF9">
      <w:pPr>
        <w:wordWrap w:val="0"/>
        <w:spacing w:line="460" w:lineRule="exact"/>
        <w:rPr>
          <w:rFonts w:ascii="宋体" w:hAnsi="宋体" w:cs="新宋体"/>
          <w:sz w:val="22"/>
          <w:szCs w:val="22"/>
        </w:rPr>
      </w:pPr>
      <w:r>
        <w:rPr>
          <w:rFonts w:hint="eastAsia" w:ascii="宋体" w:hAnsi="宋体" w:cs="新宋体"/>
          <w:sz w:val="22"/>
          <w:szCs w:val="22"/>
        </w:rPr>
        <w:t>4</w:t>
      </w:r>
      <w:r>
        <w:rPr>
          <w:rFonts w:ascii="宋体" w:hAnsi="宋体" w:cs="新宋体"/>
          <w:sz w:val="22"/>
          <w:szCs w:val="22"/>
        </w:rPr>
        <w:t xml:space="preserve">   </w:t>
      </w:r>
      <w:r>
        <w:rPr>
          <w:rFonts w:hint="eastAsia" w:ascii="宋体" w:hAnsi="宋体" w:cs="新宋体"/>
          <w:sz w:val="22"/>
          <w:szCs w:val="22"/>
        </w:rPr>
        <w:t>投标人未被列入安全生产严重失信主体名单、失信被执行人名单、重大税收违法案件当事人名单、政府采购严重违法失信行为记录名单，信用信息以信用中国网站（www.creditchina.gov.cn）、中国政府采购网（www.ccgp.gov.cn）、应急管理部官方网站（https://zwfw.mem.gov.cn/zwthlw/pages/hlwmh/yyfw/qyaqscxycx/qyaqscxycx_index.html）公布为准；</w:t>
      </w:r>
    </w:p>
    <w:p w14:paraId="1C7CD6B8">
      <w:pPr>
        <w:spacing w:line="460" w:lineRule="exact"/>
        <w:rPr>
          <w:rFonts w:ascii="宋体" w:hAnsi="宋体" w:cs="新宋体"/>
          <w:sz w:val="22"/>
          <w:szCs w:val="22"/>
        </w:rPr>
      </w:pPr>
      <w:r>
        <w:rPr>
          <w:rFonts w:hint="eastAsia" w:ascii="宋体" w:hAnsi="宋体" w:cs="新宋体"/>
          <w:sz w:val="22"/>
          <w:szCs w:val="22"/>
        </w:rPr>
        <w:t>5   具有3年及以上相关业绩经验并提供证明材料。（即合同签订时间在2023年7月1日以前，须提供合同复印件并加盖单位公章）；</w:t>
      </w:r>
    </w:p>
    <w:p w14:paraId="57A5885F">
      <w:pPr>
        <w:spacing w:line="460" w:lineRule="exact"/>
        <w:rPr>
          <w:rFonts w:hint="eastAsia" w:ascii="宋体" w:hAnsi="宋体" w:cs="新宋体"/>
          <w:sz w:val="22"/>
          <w:szCs w:val="22"/>
        </w:rPr>
      </w:pPr>
      <w:r>
        <w:rPr>
          <w:rFonts w:hint="eastAsia" w:ascii="宋体" w:hAnsi="宋体" w:cs="新宋体"/>
          <w:sz w:val="22"/>
          <w:szCs w:val="22"/>
        </w:rPr>
        <w:t>6   承诺函</w:t>
      </w:r>
    </w:p>
    <w:p w14:paraId="05738886">
      <w:pPr>
        <w:spacing w:line="460" w:lineRule="exact"/>
        <w:ind w:firstLine="0" w:firstLineChars="0"/>
        <w:rPr>
          <w:rFonts w:hint="eastAsia" w:ascii="宋体" w:hAnsi="宋体" w:cs="新宋体"/>
          <w:sz w:val="22"/>
          <w:szCs w:val="22"/>
          <w:lang w:val="zh-CN"/>
        </w:rPr>
      </w:pPr>
      <w:r>
        <w:rPr>
          <w:rFonts w:hint="eastAsia" w:ascii="宋体" w:hAnsi="宋体" w:cs="新宋体"/>
          <w:sz w:val="22"/>
          <w:szCs w:val="22"/>
          <w:lang w:val="zh-CN" w:eastAsia="zh-CN"/>
        </w:rPr>
        <w:t>7</w:t>
      </w:r>
      <w:r>
        <w:rPr>
          <w:rFonts w:hint="eastAsia" w:ascii="宋体" w:hAnsi="宋体" w:cs="新宋体"/>
          <w:sz w:val="22"/>
          <w:szCs w:val="22"/>
          <w:lang w:val="en-US" w:eastAsia="zh-CN"/>
        </w:rPr>
        <w:t xml:space="preserve">   </w:t>
      </w:r>
      <w:r>
        <w:rPr>
          <w:rFonts w:hint="eastAsia" w:ascii="宋体" w:hAnsi="宋体" w:cs="新宋体"/>
          <w:sz w:val="22"/>
          <w:szCs w:val="22"/>
          <w:lang w:val="zh-CN"/>
        </w:rPr>
        <w:t>特种设备生产许可证</w:t>
      </w:r>
    </w:p>
    <w:p w14:paraId="43790F64">
      <w:pPr>
        <w:spacing w:line="460" w:lineRule="exact"/>
        <w:rPr>
          <w:rFonts w:hint="eastAsia" w:ascii="宋体" w:hAnsi="宋体" w:cs="新宋体"/>
          <w:sz w:val="22"/>
          <w:szCs w:val="22"/>
        </w:rPr>
      </w:pPr>
    </w:p>
    <w:p w14:paraId="2E4BE405">
      <w:pPr>
        <w:pStyle w:val="9"/>
        <w:ind w:firstLine="0" w:firstLineChars="0"/>
        <w:jc w:val="left"/>
        <w:rPr>
          <w:b/>
          <w:bCs/>
        </w:rPr>
      </w:pPr>
      <w:r>
        <w:rPr>
          <w:rFonts w:hint="eastAsia"/>
          <w:b/>
          <w:bCs/>
        </w:rPr>
        <w:t>（★不得出现本项目的“价格标”内容及投标报价，否则作无效标处理）</w:t>
      </w:r>
    </w:p>
    <w:p w14:paraId="6AB9A2B0">
      <w:pPr>
        <w:spacing w:line="460" w:lineRule="exact"/>
        <w:rPr>
          <w:rFonts w:ascii="宋体" w:hAnsi="宋体" w:cs="新宋体"/>
          <w:sz w:val="22"/>
          <w:szCs w:val="22"/>
        </w:rPr>
      </w:pPr>
    </w:p>
    <w:p w14:paraId="7D523B86">
      <w:pPr>
        <w:spacing w:line="460" w:lineRule="exact"/>
        <w:rPr>
          <w:rFonts w:ascii="宋体" w:hAnsi="宋体" w:cs="新宋体"/>
          <w:sz w:val="22"/>
          <w:szCs w:val="22"/>
        </w:rPr>
      </w:pPr>
      <w:bookmarkStart w:id="78" w:name="_Toc50128411"/>
    </w:p>
    <w:p w14:paraId="48F107CF">
      <w:pPr>
        <w:snapToGrid w:val="0"/>
        <w:spacing w:before="156" w:beforeLines="50" w:after="50" w:line="360" w:lineRule="auto"/>
        <w:rPr>
          <w:rFonts w:ascii="宋体" w:hAnsi="宋体"/>
          <w:b/>
          <w:color w:val="000000"/>
          <w:sz w:val="28"/>
          <w:szCs w:val="28"/>
        </w:rPr>
      </w:pPr>
      <w:r>
        <w:rPr>
          <w:rFonts w:hint="eastAsia" w:ascii="宋体" w:hAnsi="宋体" w:cs="新宋体"/>
          <w:sz w:val="22"/>
          <w:szCs w:val="22"/>
        </w:rPr>
        <w:tab/>
      </w:r>
      <w:bookmarkEnd w:id="78"/>
      <w:r>
        <w:rPr>
          <w:rFonts w:hint="eastAsia" w:ascii="宋体" w:hAnsi="宋体"/>
          <w:color w:val="000000"/>
          <w:sz w:val="28"/>
          <w:szCs w:val="28"/>
        </w:rPr>
        <w:br w:type="page"/>
      </w:r>
    </w:p>
    <w:p w14:paraId="6AC0AA1D">
      <w:pPr>
        <w:snapToGrid w:val="0"/>
        <w:spacing w:before="156" w:beforeLines="50" w:after="50" w:line="360" w:lineRule="auto"/>
        <w:rPr>
          <w:rFonts w:ascii="宋体" w:hAnsi="宋体"/>
          <w:bCs/>
          <w:color w:val="000000"/>
          <w:sz w:val="28"/>
          <w:szCs w:val="28"/>
        </w:rPr>
      </w:pPr>
      <w:bookmarkStart w:id="79" w:name="_Toc50128413"/>
      <w:r>
        <w:rPr>
          <w:rFonts w:hint="eastAsia" w:ascii="宋体" w:hAnsi="宋体"/>
          <w:bCs/>
          <w:color w:val="000000"/>
          <w:sz w:val="28"/>
          <w:szCs w:val="28"/>
        </w:rPr>
        <w:t>附件一-1</w:t>
      </w:r>
      <w:bookmarkEnd w:id="79"/>
      <w:r>
        <w:rPr>
          <w:rFonts w:ascii="宋体" w:hAnsi="宋体"/>
          <w:bCs/>
          <w:color w:val="000000"/>
          <w:sz w:val="28"/>
          <w:szCs w:val="28"/>
        </w:rPr>
        <w:t>.1</w:t>
      </w:r>
    </w:p>
    <w:p w14:paraId="322A67B0">
      <w:pPr>
        <w:snapToGrid w:val="0"/>
        <w:spacing w:before="156" w:beforeLines="50" w:after="50" w:line="360" w:lineRule="auto"/>
        <w:jc w:val="center"/>
        <w:outlineLvl w:val="2"/>
        <w:rPr>
          <w:rFonts w:ascii="宋体" w:hAnsi="宋体"/>
          <w:b/>
          <w:color w:val="000000"/>
          <w:sz w:val="28"/>
          <w:szCs w:val="28"/>
        </w:rPr>
      </w:pPr>
      <w:r>
        <w:rPr>
          <w:rFonts w:hint="eastAsia" w:ascii="宋体" w:hAnsi="宋体"/>
          <w:b/>
          <w:color w:val="000000"/>
          <w:sz w:val="28"/>
          <w:szCs w:val="28"/>
        </w:rPr>
        <w:t>法定代表人授权委托书</w:t>
      </w:r>
    </w:p>
    <w:p w14:paraId="5F4BEFB9">
      <w:pPr>
        <w:snapToGrid w:val="0"/>
        <w:spacing w:before="156" w:beforeLines="50" w:after="50" w:line="360" w:lineRule="auto"/>
        <w:rPr>
          <w:rFonts w:ascii="宋体" w:hAnsi="宋体"/>
          <w:b/>
          <w:bCs/>
          <w:color w:val="000000"/>
          <w:sz w:val="22"/>
          <w:szCs w:val="22"/>
        </w:rPr>
      </w:pPr>
      <w:r>
        <w:rPr>
          <w:rFonts w:hint="eastAsia" w:ascii="宋体" w:hAnsi="宋体"/>
          <w:bCs/>
          <w:color w:val="000000"/>
          <w:sz w:val="22"/>
          <w:szCs w:val="22"/>
        </w:rPr>
        <w:t>致：</w:t>
      </w:r>
      <w:r>
        <w:rPr>
          <w:rFonts w:hint="eastAsia" w:ascii="宋体" w:hAnsi="宋体"/>
          <w:b/>
          <w:sz w:val="22"/>
          <w:szCs w:val="22"/>
        </w:rPr>
        <w:t>温州金洋集装箱码头有限公司</w:t>
      </w:r>
    </w:p>
    <w:p w14:paraId="1B1B15BF">
      <w:pPr>
        <w:snapToGrid w:val="0"/>
        <w:spacing w:before="156" w:beforeLines="50" w:after="50" w:line="360" w:lineRule="auto"/>
        <w:ind w:firstLine="440" w:firstLineChars="200"/>
        <w:rPr>
          <w:rFonts w:ascii="宋体" w:hAnsi="宋体"/>
          <w:color w:val="000000"/>
          <w:sz w:val="22"/>
          <w:szCs w:val="22"/>
        </w:rPr>
      </w:pPr>
      <w:r>
        <w:rPr>
          <w:rFonts w:hint="eastAsia" w:ascii="宋体" w:hAnsi="宋体"/>
          <w:color w:val="000000"/>
          <w:sz w:val="22"/>
          <w:szCs w:val="22"/>
        </w:rPr>
        <w:t>我</w:t>
      </w:r>
      <w:r>
        <w:rPr>
          <w:rFonts w:hint="eastAsia" w:ascii="宋体" w:hAnsi="宋体"/>
          <w:color w:val="000000"/>
          <w:sz w:val="22"/>
          <w:szCs w:val="22"/>
          <w:u w:val="single"/>
        </w:rPr>
        <w:t>（姓名）</w:t>
      </w:r>
      <w:r>
        <w:rPr>
          <w:rFonts w:hint="eastAsia" w:ascii="宋体" w:hAnsi="宋体"/>
          <w:color w:val="000000"/>
          <w:sz w:val="22"/>
          <w:szCs w:val="22"/>
        </w:rPr>
        <w:t>系</w:t>
      </w:r>
      <w:r>
        <w:rPr>
          <w:rFonts w:hint="eastAsia" w:ascii="宋体" w:hAnsi="宋体"/>
          <w:color w:val="000000"/>
          <w:sz w:val="22"/>
          <w:szCs w:val="22"/>
          <w:u w:val="single"/>
        </w:rPr>
        <w:t>（投标人名称）</w:t>
      </w:r>
      <w:r>
        <w:rPr>
          <w:rFonts w:hint="eastAsia" w:ascii="宋体" w:hAnsi="宋体"/>
          <w:color w:val="000000"/>
          <w:sz w:val="22"/>
          <w:szCs w:val="22"/>
        </w:rPr>
        <w:t>的法定代表人，现授权委托本单位在职职工</w:t>
      </w:r>
      <w:r>
        <w:rPr>
          <w:rFonts w:hint="eastAsia" w:ascii="宋体" w:hAnsi="宋体"/>
          <w:color w:val="000000"/>
          <w:sz w:val="22"/>
          <w:szCs w:val="22"/>
          <w:u w:val="single"/>
        </w:rPr>
        <w:t>（姓名）</w:t>
      </w:r>
      <w:r>
        <w:rPr>
          <w:rFonts w:hint="eastAsia" w:ascii="宋体" w:hAnsi="宋体"/>
          <w:color w:val="000000"/>
          <w:sz w:val="22"/>
          <w:szCs w:val="22"/>
        </w:rPr>
        <w:t>以我方的名义参加</w:t>
      </w:r>
      <w:r>
        <w:rPr>
          <w:rFonts w:hint="eastAsia" w:ascii="宋体" w:hAnsi="宋体"/>
          <w:color w:val="000000"/>
          <w:sz w:val="22"/>
          <w:szCs w:val="22"/>
          <w:u w:val="single"/>
        </w:rPr>
        <w:t>温州金洋集装箱码头有限公司25吨叉车维修项目</w:t>
      </w:r>
      <w:r>
        <w:rPr>
          <w:rFonts w:hint="eastAsia" w:ascii="宋体" w:hAnsi="宋体"/>
          <w:color w:val="000000"/>
          <w:sz w:val="22"/>
          <w:szCs w:val="22"/>
        </w:rPr>
        <w:t>的投标活动，并代表我方全权办理针对上述项目的投标、开标、评标、签约等具体事务和签署相关文件。</w:t>
      </w:r>
    </w:p>
    <w:p w14:paraId="54A83AE2">
      <w:pPr>
        <w:snapToGrid w:val="0"/>
        <w:spacing w:before="156" w:beforeLines="50" w:after="50" w:line="360" w:lineRule="auto"/>
        <w:rPr>
          <w:rFonts w:ascii="宋体" w:hAnsi="宋体"/>
          <w:color w:val="000000"/>
          <w:sz w:val="22"/>
          <w:szCs w:val="22"/>
        </w:rPr>
      </w:pPr>
      <w:r>
        <w:rPr>
          <w:rFonts w:hint="eastAsia" w:ascii="宋体" w:hAnsi="宋体"/>
          <w:color w:val="000000"/>
          <w:sz w:val="22"/>
          <w:szCs w:val="22"/>
        </w:rPr>
        <w:t>我方对被授权人的签名事项负全部责任。</w:t>
      </w:r>
    </w:p>
    <w:p w14:paraId="57B5CD49">
      <w:pPr>
        <w:snapToGrid w:val="0"/>
        <w:spacing w:before="156" w:beforeLines="50" w:after="50" w:line="360" w:lineRule="auto"/>
        <w:ind w:firstLine="480"/>
        <w:rPr>
          <w:rFonts w:ascii="宋体" w:hAnsi="宋体"/>
          <w:color w:val="000000"/>
          <w:sz w:val="22"/>
          <w:szCs w:val="22"/>
        </w:rPr>
      </w:pPr>
      <w:r>
        <w:rPr>
          <w:rFonts w:hint="eastAsia" w:ascii="宋体" w:hAnsi="宋体"/>
          <w:color w:val="000000"/>
          <w:sz w:val="22"/>
          <w:szCs w:val="22"/>
          <w:u w:val="single"/>
        </w:rPr>
        <w:t>在撤销授权的书面通知以前，本授权书一直有效。</w:t>
      </w:r>
      <w:r>
        <w:rPr>
          <w:rFonts w:hint="eastAsia" w:ascii="宋体" w:hAnsi="宋体"/>
          <w:color w:val="000000"/>
          <w:sz w:val="22"/>
          <w:szCs w:val="22"/>
        </w:rPr>
        <w:t>被授权人在授权书有效期内签署的所有文件不因授权的撤销而失效。</w:t>
      </w:r>
    </w:p>
    <w:p w14:paraId="2E150A61">
      <w:pPr>
        <w:snapToGrid w:val="0"/>
        <w:spacing w:before="156" w:beforeLines="50" w:after="50" w:line="360" w:lineRule="auto"/>
        <w:ind w:firstLine="480"/>
        <w:rPr>
          <w:rFonts w:ascii="宋体" w:hAnsi="宋体"/>
          <w:color w:val="000000"/>
          <w:sz w:val="22"/>
          <w:szCs w:val="22"/>
        </w:rPr>
      </w:pPr>
      <w:r>
        <w:rPr>
          <w:rFonts w:hint="eastAsia" w:ascii="宋体" w:hAnsi="宋体"/>
          <w:color w:val="000000"/>
          <w:sz w:val="22"/>
          <w:szCs w:val="22"/>
        </w:rPr>
        <w:t>被授权人无转委托权，特此委托。</w:t>
      </w:r>
    </w:p>
    <w:p w14:paraId="4D5FB130">
      <w:pPr>
        <w:snapToGrid w:val="0"/>
        <w:spacing w:before="156" w:beforeLines="50" w:after="50" w:line="360" w:lineRule="auto"/>
        <w:rPr>
          <w:rFonts w:ascii="宋体" w:hAnsi="宋体"/>
          <w:color w:val="000000"/>
          <w:sz w:val="22"/>
          <w:szCs w:val="22"/>
        </w:rPr>
      </w:pPr>
    </w:p>
    <w:p w14:paraId="073C18E8">
      <w:pPr>
        <w:snapToGrid w:val="0"/>
        <w:spacing w:before="156" w:beforeLines="50" w:after="50" w:line="360" w:lineRule="auto"/>
        <w:rPr>
          <w:rFonts w:ascii="宋体" w:hAnsi="宋体"/>
          <w:color w:val="000000"/>
          <w:sz w:val="22"/>
          <w:szCs w:val="22"/>
        </w:rPr>
      </w:pPr>
      <w:r>
        <w:rPr>
          <w:rFonts w:hint="eastAsia" w:ascii="宋体" w:hAnsi="宋体"/>
          <w:color w:val="000000"/>
          <w:sz w:val="22"/>
          <w:szCs w:val="22"/>
        </w:rPr>
        <w:t>法定代表人签名：</w:t>
      </w:r>
    </w:p>
    <w:p w14:paraId="09B0263D">
      <w:pPr>
        <w:snapToGrid w:val="0"/>
        <w:spacing w:before="156" w:beforeLines="50" w:after="50" w:line="360" w:lineRule="auto"/>
        <w:rPr>
          <w:rFonts w:ascii="宋体" w:hAnsi="宋体"/>
          <w:color w:val="000000"/>
          <w:sz w:val="22"/>
          <w:szCs w:val="22"/>
          <w:u w:val="single"/>
        </w:rPr>
      </w:pPr>
      <w:r>
        <w:rPr>
          <w:rFonts w:hint="eastAsia" w:ascii="宋体" w:hAnsi="宋体"/>
          <w:color w:val="000000"/>
          <w:sz w:val="22"/>
          <w:szCs w:val="22"/>
        </w:rPr>
        <w:t xml:space="preserve">被授权人签名：                 </w:t>
      </w:r>
    </w:p>
    <w:p w14:paraId="4D478BA0">
      <w:pPr>
        <w:snapToGrid w:val="0"/>
        <w:spacing w:before="156" w:beforeLines="50" w:after="50" w:line="360" w:lineRule="auto"/>
        <w:rPr>
          <w:rFonts w:ascii="宋体" w:hAnsi="宋体"/>
          <w:color w:val="000000"/>
          <w:sz w:val="22"/>
          <w:szCs w:val="22"/>
        </w:rPr>
      </w:pPr>
      <w:r>
        <w:rPr>
          <w:rFonts w:hint="eastAsia" w:ascii="宋体" w:hAnsi="宋体"/>
          <w:color w:val="000000"/>
          <w:sz w:val="22"/>
          <w:szCs w:val="22"/>
        </w:rPr>
        <w:t>被授权人身份证号码：</w:t>
      </w:r>
    </w:p>
    <w:p w14:paraId="34BCA675">
      <w:pPr>
        <w:snapToGrid w:val="0"/>
        <w:spacing w:before="156" w:beforeLines="50" w:after="50" w:line="360" w:lineRule="auto"/>
        <w:rPr>
          <w:rFonts w:ascii="宋体" w:hAnsi="宋体"/>
          <w:color w:val="000000"/>
          <w:sz w:val="22"/>
          <w:szCs w:val="22"/>
        </w:rPr>
      </w:pPr>
      <w:r>
        <w:rPr>
          <w:rFonts w:hint="eastAsia" w:ascii="宋体" w:hAnsi="宋体"/>
          <w:color w:val="000000"/>
          <w:sz w:val="22"/>
          <w:szCs w:val="22"/>
        </w:rPr>
        <w:t>投标人公章：</w:t>
      </w:r>
    </w:p>
    <w:p w14:paraId="778F142C">
      <w:pPr>
        <w:snapToGrid w:val="0"/>
        <w:spacing w:before="156" w:beforeLines="50" w:after="50" w:line="360" w:lineRule="auto"/>
        <w:rPr>
          <w:rFonts w:ascii="宋体" w:hAnsi="宋体"/>
          <w:color w:val="000000"/>
          <w:sz w:val="22"/>
          <w:szCs w:val="22"/>
        </w:rPr>
      </w:pPr>
      <w:r>
        <w:rPr>
          <w:rFonts w:hint="eastAsia" w:ascii="宋体" w:hAnsi="宋体"/>
          <w:color w:val="000000"/>
          <w:sz w:val="22"/>
          <w:szCs w:val="22"/>
        </w:rPr>
        <w:t>年   月   日</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6"/>
      </w:tblGrid>
      <w:tr w14:paraId="45DEE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trPr>
        <w:tc>
          <w:tcPr>
            <w:tcW w:w="9300" w:type="dxa"/>
          </w:tcPr>
          <w:p w14:paraId="3982E6FF">
            <w:pPr>
              <w:snapToGrid w:val="0"/>
              <w:spacing w:before="156" w:beforeLines="50" w:after="50" w:line="360" w:lineRule="auto"/>
              <w:rPr>
                <w:rFonts w:ascii="宋体" w:hAnsi="宋体"/>
                <w:b/>
                <w:color w:val="000000"/>
                <w:sz w:val="28"/>
                <w:szCs w:val="28"/>
              </w:rPr>
            </w:pPr>
            <w:r>
              <w:rPr>
                <w:rFonts w:hint="eastAsia" w:ascii="宋体" w:hAnsi="宋体"/>
                <w:b/>
                <w:color w:val="000000"/>
                <w:sz w:val="28"/>
                <w:szCs w:val="28"/>
              </w:rPr>
              <w:t>附法定代表人身份证正反面复印件</w:t>
            </w:r>
          </w:p>
        </w:tc>
      </w:tr>
      <w:tr w14:paraId="2757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9300" w:type="dxa"/>
          </w:tcPr>
          <w:p w14:paraId="7260F7A7">
            <w:pPr>
              <w:snapToGrid w:val="0"/>
              <w:spacing w:before="156" w:beforeLines="50" w:after="50" w:line="360" w:lineRule="auto"/>
              <w:rPr>
                <w:rFonts w:ascii="宋体" w:hAnsi="宋体"/>
                <w:b/>
                <w:color w:val="000000"/>
                <w:sz w:val="28"/>
                <w:szCs w:val="28"/>
              </w:rPr>
            </w:pPr>
            <w:r>
              <w:rPr>
                <w:rFonts w:hint="eastAsia" w:ascii="宋体" w:hAnsi="宋体"/>
                <w:b/>
                <w:color w:val="000000"/>
                <w:sz w:val="28"/>
                <w:szCs w:val="28"/>
              </w:rPr>
              <w:t>附被授权人身份证正反面复印件</w:t>
            </w:r>
          </w:p>
        </w:tc>
      </w:tr>
    </w:tbl>
    <w:p w14:paraId="34B76B1F">
      <w:pPr>
        <w:rPr>
          <w:rFonts w:ascii="宋体" w:hAnsi="宋体"/>
          <w:b/>
          <w:color w:val="000000"/>
          <w:sz w:val="28"/>
          <w:szCs w:val="28"/>
        </w:rPr>
      </w:pPr>
      <w:bookmarkStart w:id="80" w:name="_Toc32750"/>
      <w:bookmarkStart w:id="81" w:name="_Toc50128414"/>
      <w:r>
        <w:rPr>
          <w:rFonts w:hint="eastAsia" w:ascii="宋体" w:hAnsi="宋体"/>
          <w:b/>
          <w:color w:val="000000"/>
          <w:sz w:val="28"/>
          <w:szCs w:val="28"/>
        </w:rPr>
        <w:br w:type="page"/>
      </w:r>
      <w:r>
        <w:rPr>
          <w:rFonts w:hint="eastAsia" w:ascii="宋体" w:hAnsi="宋体"/>
          <w:b/>
          <w:color w:val="000000"/>
          <w:sz w:val="28"/>
          <w:szCs w:val="28"/>
        </w:rPr>
        <w:t>附件一-1.2</w:t>
      </w:r>
      <w:bookmarkEnd w:id="80"/>
      <w:bookmarkEnd w:id="81"/>
    </w:p>
    <w:p w14:paraId="6754C7F6">
      <w:pPr>
        <w:spacing w:line="360" w:lineRule="auto"/>
        <w:jc w:val="center"/>
        <w:outlineLvl w:val="2"/>
        <w:rPr>
          <w:b/>
          <w:bCs/>
          <w:snapToGrid w:val="0"/>
          <w:sz w:val="28"/>
          <w:szCs w:val="28"/>
        </w:rPr>
      </w:pPr>
      <w:r>
        <w:rPr>
          <w:rFonts w:hint="eastAsia"/>
          <w:b/>
          <w:bCs/>
          <w:snapToGrid w:val="0"/>
          <w:sz w:val="28"/>
          <w:szCs w:val="28"/>
        </w:rPr>
        <w:t>法定代表人资格证明书</w:t>
      </w:r>
    </w:p>
    <w:p w14:paraId="5A4E744E">
      <w:pPr>
        <w:spacing w:line="360" w:lineRule="auto"/>
        <w:ind w:left="-6" w:leftChars="-3" w:firstLine="420" w:firstLineChars="200"/>
        <w:rPr>
          <w:rFonts w:ascii="宋体" w:hAnsi="宋体"/>
        </w:rPr>
      </w:pPr>
    </w:p>
    <w:p w14:paraId="7CC0688B">
      <w:pPr>
        <w:spacing w:line="360" w:lineRule="auto"/>
        <w:ind w:left="-6" w:leftChars="-3" w:firstLine="420" w:firstLineChars="200"/>
        <w:rPr>
          <w:rFonts w:ascii="宋体" w:hAnsi="宋体"/>
        </w:rPr>
      </w:pPr>
    </w:p>
    <w:p w14:paraId="5E8E1DB3">
      <w:pPr>
        <w:spacing w:line="360" w:lineRule="auto"/>
        <w:rPr>
          <w:rFonts w:ascii="宋体" w:hAnsi="宋体"/>
          <w:sz w:val="22"/>
          <w:szCs w:val="22"/>
          <w:u w:val="single"/>
        </w:rPr>
      </w:pPr>
      <w:r>
        <w:rPr>
          <w:rFonts w:hint="eastAsia" w:ascii="宋体" w:hAnsi="宋体"/>
          <w:sz w:val="22"/>
          <w:szCs w:val="22"/>
        </w:rPr>
        <w:t xml:space="preserve">  单位名称：</w:t>
      </w:r>
    </w:p>
    <w:p w14:paraId="4195B103">
      <w:pPr>
        <w:spacing w:line="360" w:lineRule="auto"/>
        <w:ind w:left="-6" w:leftChars="-3" w:firstLine="440" w:firstLineChars="200"/>
        <w:rPr>
          <w:rFonts w:ascii="宋体" w:hAnsi="宋体"/>
          <w:sz w:val="22"/>
          <w:szCs w:val="22"/>
          <w:u w:val="single"/>
        </w:rPr>
      </w:pPr>
      <w:r>
        <w:rPr>
          <w:rFonts w:hint="eastAsia" w:ascii="宋体" w:hAnsi="宋体"/>
          <w:sz w:val="22"/>
          <w:szCs w:val="22"/>
        </w:rPr>
        <w:t>地    址：</w:t>
      </w:r>
    </w:p>
    <w:p w14:paraId="3F1146F9">
      <w:pPr>
        <w:spacing w:line="360" w:lineRule="auto"/>
        <w:ind w:left="-6" w:leftChars="-3" w:firstLine="440" w:firstLineChars="200"/>
        <w:rPr>
          <w:rFonts w:ascii="宋体" w:hAnsi="宋体"/>
          <w:sz w:val="22"/>
          <w:szCs w:val="22"/>
        </w:rPr>
      </w:pPr>
      <w:r>
        <w:rPr>
          <w:rFonts w:hint="eastAsia" w:ascii="宋体" w:hAnsi="宋体"/>
          <w:sz w:val="22"/>
          <w:szCs w:val="22"/>
        </w:rPr>
        <w:t>姓名： 性别：年龄：职务：</w:t>
      </w:r>
    </w:p>
    <w:p w14:paraId="13811BFC">
      <w:pPr>
        <w:spacing w:line="360" w:lineRule="auto"/>
        <w:ind w:left="-6" w:leftChars="-3" w:firstLine="440" w:firstLineChars="200"/>
        <w:rPr>
          <w:rFonts w:ascii="宋体" w:hAnsi="宋体"/>
          <w:sz w:val="22"/>
          <w:szCs w:val="22"/>
        </w:rPr>
      </w:pPr>
      <w:r>
        <w:rPr>
          <w:rFonts w:hint="eastAsia" w:ascii="宋体" w:hAnsi="宋体"/>
          <w:sz w:val="22"/>
          <w:szCs w:val="22"/>
        </w:rPr>
        <w:t>身份证号码：系</w:t>
      </w:r>
      <w:r>
        <w:rPr>
          <w:rFonts w:hint="eastAsia" w:ascii="宋体" w:hAnsi="宋体"/>
          <w:sz w:val="22"/>
          <w:szCs w:val="22"/>
          <w:u w:val="single"/>
        </w:rPr>
        <w:t xml:space="preserve">               （单位名称）</w:t>
      </w:r>
      <w:r>
        <w:rPr>
          <w:rFonts w:hint="eastAsia" w:ascii="宋体" w:hAnsi="宋体"/>
          <w:sz w:val="22"/>
          <w:szCs w:val="22"/>
        </w:rPr>
        <w:t>的法定代表人。</w:t>
      </w:r>
    </w:p>
    <w:p w14:paraId="36A8FE2D">
      <w:pPr>
        <w:spacing w:line="360" w:lineRule="auto"/>
        <w:ind w:left="-6" w:leftChars="-3" w:firstLine="440" w:firstLineChars="200"/>
        <w:rPr>
          <w:rFonts w:ascii="宋体" w:hAnsi="宋体"/>
          <w:sz w:val="22"/>
          <w:szCs w:val="22"/>
        </w:rPr>
      </w:pPr>
      <w:r>
        <w:rPr>
          <w:rFonts w:hint="eastAsia" w:ascii="宋体" w:hAnsi="宋体"/>
          <w:sz w:val="22"/>
          <w:szCs w:val="22"/>
        </w:rPr>
        <w:t>特此证明。</w:t>
      </w:r>
    </w:p>
    <w:p w14:paraId="30827180">
      <w:pPr>
        <w:spacing w:line="360" w:lineRule="auto"/>
        <w:ind w:left="4060" w:leftChars="1881" w:hanging="110" w:hangingChars="50"/>
        <w:rPr>
          <w:rFonts w:ascii="宋体" w:hAnsi="宋体"/>
          <w:sz w:val="22"/>
          <w:szCs w:val="22"/>
        </w:rPr>
      </w:pPr>
    </w:p>
    <w:p w14:paraId="782CA493">
      <w:pPr>
        <w:spacing w:line="360" w:lineRule="auto"/>
        <w:ind w:left="4060" w:leftChars="1881" w:hanging="110" w:hangingChars="50"/>
        <w:rPr>
          <w:rFonts w:ascii="宋体" w:hAnsi="宋体"/>
          <w:sz w:val="22"/>
          <w:szCs w:val="22"/>
        </w:rPr>
      </w:pPr>
    </w:p>
    <w:p w14:paraId="13FE8F78">
      <w:pPr>
        <w:spacing w:line="360" w:lineRule="auto"/>
        <w:ind w:left="4060" w:leftChars="1881" w:hanging="110" w:hangingChars="50"/>
        <w:rPr>
          <w:rFonts w:ascii="宋体" w:hAnsi="宋体"/>
          <w:sz w:val="22"/>
          <w:szCs w:val="22"/>
        </w:rPr>
      </w:pPr>
    </w:p>
    <w:p w14:paraId="1BC2448B">
      <w:pPr>
        <w:spacing w:line="360" w:lineRule="auto"/>
        <w:ind w:left="4060" w:leftChars="1881" w:hanging="110" w:hangingChars="50"/>
        <w:rPr>
          <w:rFonts w:ascii="宋体" w:hAnsi="宋体"/>
          <w:bCs/>
          <w:sz w:val="22"/>
          <w:szCs w:val="22"/>
        </w:rPr>
      </w:pPr>
      <w:r>
        <w:rPr>
          <w:rFonts w:hint="eastAsia" w:ascii="宋体" w:hAnsi="宋体"/>
          <w:bCs/>
          <w:sz w:val="22"/>
          <w:szCs w:val="22"/>
        </w:rPr>
        <w:t xml:space="preserve">投标人全称（加盖单位公章）： </w:t>
      </w:r>
    </w:p>
    <w:p w14:paraId="78C5655C">
      <w:pPr>
        <w:spacing w:line="360" w:lineRule="auto"/>
        <w:ind w:left="4060" w:leftChars="1881" w:hanging="110" w:hangingChars="50"/>
        <w:rPr>
          <w:rFonts w:ascii="宋体" w:hAnsi="宋体"/>
          <w:bCs/>
          <w:sz w:val="22"/>
          <w:szCs w:val="22"/>
        </w:rPr>
      </w:pPr>
    </w:p>
    <w:p w14:paraId="3A8F236A">
      <w:pPr>
        <w:spacing w:line="360" w:lineRule="auto"/>
        <w:ind w:left="4060" w:leftChars="1881" w:hanging="110" w:hangingChars="50"/>
        <w:rPr>
          <w:rFonts w:ascii="宋体" w:hAnsi="宋体"/>
          <w:sz w:val="22"/>
          <w:szCs w:val="22"/>
        </w:rPr>
      </w:pPr>
      <w:r>
        <w:rPr>
          <w:rFonts w:hint="eastAsia" w:ascii="宋体" w:hAnsi="宋体"/>
          <w:bCs/>
          <w:sz w:val="22"/>
          <w:szCs w:val="22"/>
        </w:rPr>
        <w:t>日      期：</w:t>
      </w:r>
      <w:r>
        <w:rPr>
          <w:rFonts w:hint="eastAsia" w:ascii="宋体" w:hAnsi="宋体"/>
          <w:sz w:val="22"/>
          <w:szCs w:val="22"/>
        </w:rPr>
        <w:t>年月日</w:t>
      </w:r>
    </w:p>
    <w:p w14:paraId="2F0F4926">
      <w:pPr>
        <w:widowControl/>
        <w:jc w:val="left"/>
        <w:rPr>
          <w:rFonts w:ascii="宋体" w:hAnsi="宋体"/>
          <w:b/>
          <w:color w:val="000000"/>
          <w:sz w:val="28"/>
          <w:szCs w:val="28"/>
        </w:rPr>
      </w:pPr>
      <w:r>
        <w:rPr>
          <w:rFonts w:ascii="宋体" w:hAnsi="宋体"/>
          <w:b/>
          <w:color w:val="000000"/>
          <w:sz w:val="28"/>
          <w:szCs w:val="28"/>
        </w:rPr>
        <w:br w:type="page"/>
      </w:r>
    </w:p>
    <w:p w14:paraId="6A8CA54F">
      <w:pPr>
        <w:spacing w:line="360" w:lineRule="auto"/>
        <w:jc w:val="left"/>
        <w:rPr>
          <w:rFonts w:ascii="宋体" w:hAnsi="宋体"/>
          <w:color w:val="000000"/>
          <w:sz w:val="28"/>
          <w:szCs w:val="28"/>
        </w:rPr>
      </w:pPr>
      <w:r>
        <w:rPr>
          <w:rFonts w:hint="eastAsia" w:ascii="宋体" w:hAnsi="宋体"/>
          <w:color w:val="000000"/>
          <w:sz w:val="28"/>
          <w:szCs w:val="28"/>
        </w:rPr>
        <w:t>附件一-2</w:t>
      </w:r>
    </w:p>
    <w:p w14:paraId="0D208989">
      <w:pPr>
        <w:snapToGrid w:val="0"/>
        <w:spacing w:before="156" w:beforeLines="50" w:after="50" w:line="360" w:lineRule="auto"/>
        <w:jc w:val="center"/>
        <w:outlineLvl w:val="2"/>
        <w:rPr>
          <w:rFonts w:ascii="宋体" w:hAnsi="宋体"/>
          <w:b/>
          <w:color w:val="000000"/>
          <w:sz w:val="28"/>
          <w:szCs w:val="28"/>
        </w:rPr>
      </w:pPr>
      <w:r>
        <w:rPr>
          <w:rFonts w:hint="eastAsia" w:ascii="宋体" w:hAnsi="宋体"/>
          <w:b/>
          <w:color w:val="000000"/>
          <w:sz w:val="28"/>
          <w:szCs w:val="28"/>
        </w:rPr>
        <w:t>投标声明书</w:t>
      </w:r>
    </w:p>
    <w:p w14:paraId="3A57CB3D">
      <w:pPr>
        <w:snapToGrid w:val="0"/>
        <w:spacing w:before="156" w:beforeLines="50" w:after="50" w:line="360" w:lineRule="auto"/>
        <w:rPr>
          <w:rFonts w:ascii="宋体" w:hAnsi="宋体"/>
          <w:color w:val="000000"/>
          <w:sz w:val="22"/>
          <w:szCs w:val="22"/>
        </w:rPr>
      </w:pPr>
      <w:r>
        <w:rPr>
          <w:rFonts w:hint="eastAsia" w:ascii="宋体" w:hAnsi="宋体"/>
          <w:color w:val="000000"/>
          <w:sz w:val="22"/>
          <w:szCs w:val="22"/>
        </w:rPr>
        <w:t>致：</w:t>
      </w:r>
      <w:r>
        <w:rPr>
          <w:rFonts w:hint="eastAsia" w:ascii="宋体" w:hAnsi="宋体"/>
          <w:b/>
          <w:sz w:val="22"/>
          <w:szCs w:val="22"/>
        </w:rPr>
        <w:t>温州金洋集装箱码头有限公司</w:t>
      </w:r>
    </w:p>
    <w:p w14:paraId="57B12465">
      <w:pPr>
        <w:snapToGrid w:val="0"/>
        <w:spacing w:before="156" w:beforeLines="50" w:after="50" w:line="360" w:lineRule="auto"/>
        <w:ind w:firstLine="660" w:firstLineChars="300"/>
        <w:rPr>
          <w:rFonts w:ascii="宋体" w:hAnsi="宋体"/>
          <w:color w:val="000000"/>
          <w:sz w:val="22"/>
          <w:szCs w:val="22"/>
        </w:rPr>
      </w:pPr>
      <w:r>
        <w:rPr>
          <w:rFonts w:hint="eastAsia" w:ascii="宋体" w:hAnsi="宋体"/>
          <w:color w:val="000000"/>
          <w:sz w:val="22"/>
          <w:szCs w:val="22"/>
          <w:u w:val="single"/>
        </w:rPr>
        <w:t>（投标人名称）</w:t>
      </w:r>
      <w:r>
        <w:rPr>
          <w:rFonts w:hint="eastAsia" w:ascii="宋体" w:hAnsi="宋体"/>
          <w:color w:val="000000"/>
          <w:sz w:val="22"/>
          <w:szCs w:val="22"/>
        </w:rPr>
        <w:t>系中华人民共和国合法企业，经营地址。</w:t>
      </w:r>
    </w:p>
    <w:p w14:paraId="29034CC3">
      <w:pPr>
        <w:snapToGrid w:val="0"/>
        <w:spacing w:before="156" w:beforeLines="50" w:after="50" w:line="360" w:lineRule="auto"/>
        <w:ind w:firstLine="645"/>
        <w:rPr>
          <w:rFonts w:ascii="宋体" w:hAnsi="宋体"/>
          <w:color w:val="000000"/>
          <w:sz w:val="22"/>
          <w:szCs w:val="22"/>
        </w:rPr>
      </w:pPr>
      <w:r>
        <w:rPr>
          <w:rFonts w:hint="eastAsia" w:ascii="宋体" w:hAnsi="宋体"/>
          <w:color w:val="000000"/>
          <w:sz w:val="22"/>
          <w:szCs w:val="22"/>
        </w:rPr>
        <w:t xml:space="preserve">我 </w:t>
      </w:r>
      <w:r>
        <w:rPr>
          <w:rFonts w:hint="eastAsia" w:ascii="宋体" w:hAnsi="宋体"/>
          <w:color w:val="000000"/>
          <w:sz w:val="22"/>
          <w:szCs w:val="22"/>
          <w:u w:val="single"/>
        </w:rPr>
        <w:t>（姓名）</w:t>
      </w:r>
      <w:r>
        <w:rPr>
          <w:rFonts w:hint="eastAsia" w:ascii="宋体" w:hAnsi="宋体"/>
          <w:color w:val="000000"/>
          <w:sz w:val="22"/>
          <w:szCs w:val="22"/>
        </w:rPr>
        <w:t>系</w:t>
      </w:r>
      <w:r>
        <w:rPr>
          <w:rFonts w:hint="eastAsia" w:ascii="宋体" w:hAnsi="宋体"/>
          <w:color w:val="000000"/>
          <w:sz w:val="22"/>
          <w:szCs w:val="22"/>
          <w:u w:val="single"/>
        </w:rPr>
        <w:t>（投标人名称）</w:t>
      </w:r>
      <w:r>
        <w:rPr>
          <w:rFonts w:hint="eastAsia" w:ascii="宋体" w:hAnsi="宋体"/>
          <w:color w:val="000000"/>
          <w:sz w:val="22"/>
          <w:szCs w:val="22"/>
        </w:rPr>
        <w:t>的法定代表人，我方愿意参加贵方组织的</w:t>
      </w:r>
      <w:r>
        <w:rPr>
          <w:rFonts w:hint="eastAsia" w:ascii="宋体" w:hAnsi="宋体"/>
          <w:color w:val="000000"/>
          <w:sz w:val="22"/>
          <w:szCs w:val="22"/>
          <w:u w:val="single"/>
        </w:rPr>
        <w:t>温州金洋集装箱码头有限公司25吨叉车维修</w:t>
      </w:r>
      <w:r>
        <w:rPr>
          <w:rFonts w:hint="eastAsia" w:ascii="宋体" w:hAnsi="宋体"/>
          <w:color w:val="000000"/>
          <w:sz w:val="22"/>
          <w:szCs w:val="22"/>
        </w:rPr>
        <w:t>项目的投标，为便于贵方公正、择优地确定中标人及其投标产品和服务，我方就本次投标有关事项郑重声明如下：</w:t>
      </w:r>
    </w:p>
    <w:p w14:paraId="622DDA6A">
      <w:pPr>
        <w:snapToGrid w:val="0"/>
        <w:spacing w:line="360" w:lineRule="auto"/>
        <w:ind w:firstLine="440" w:firstLineChars="200"/>
        <w:rPr>
          <w:rFonts w:ascii="宋体" w:hAnsi="宋体"/>
          <w:color w:val="000000"/>
          <w:sz w:val="22"/>
          <w:szCs w:val="22"/>
        </w:rPr>
      </w:pPr>
      <w:r>
        <w:rPr>
          <w:rFonts w:ascii="宋体" w:hAnsi="宋体"/>
          <w:color w:val="000000"/>
          <w:sz w:val="22"/>
          <w:szCs w:val="22"/>
        </w:rPr>
        <w:t>1</w:t>
      </w:r>
      <w:r>
        <w:rPr>
          <w:rFonts w:hint="eastAsia" w:ascii="宋体" w:hAnsi="宋体"/>
          <w:color w:val="000000"/>
          <w:sz w:val="22"/>
          <w:szCs w:val="22"/>
        </w:rPr>
        <w:t>.</w:t>
      </w:r>
      <w:r>
        <w:rPr>
          <w:rFonts w:ascii="宋体" w:hAnsi="宋体"/>
          <w:color w:val="000000"/>
          <w:sz w:val="22"/>
          <w:szCs w:val="22"/>
        </w:rPr>
        <w:t>我方向贵方提交的所有投标文件、资料都是准确的和真实的</w:t>
      </w:r>
      <w:r>
        <w:rPr>
          <w:rFonts w:hint="eastAsia" w:ascii="宋体" w:hAnsi="宋体"/>
          <w:color w:val="000000"/>
          <w:sz w:val="22"/>
          <w:szCs w:val="22"/>
        </w:rPr>
        <w:t>。</w:t>
      </w:r>
    </w:p>
    <w:p w14:paraId="6F88C751">
      <w:pPr>
        <w:snapToGrid w:val="0"/>
        <w:spacing w:before="156" w:beforeLines="50" w:line="360" w:lineRule="auto"/>
        <w:ind w:firstLine="440" w:firstLineChars="200"/>
        <w:rPr>
          <w:rFonts w:ascii="宋体" w:hAnsi="宋体"/>
          <w:color w:val="000000"/>
          <w:sz w:val="22"/>
          <w:szCs w:val="22"/>
        </w:rPr>
      </w:pPr>
      <w:r>
        <w:rPr>
          <w:rFonts w:ascii="宋体" w:hAnsi="宋体"/>
          <w:color w:val="000000"/>
          <w:sz w:val="22"/>
          <w:szCs w:val="22"/>
        </w:rPr>
        <w:t>2</w:t>
      </w:r>
      <w:r>
        <w:rPr>
          <w:rFonts w:hint="eastAsia" w:ascii="宋体" w:hAnsi="宋体"/>
          <w:color w:val="000000"/>
          <w:sz w:val="22"/>
          <w:szCs w:val="22"/>
        </w:rPr>
        <w:t>.</w:t>
      </w:r>
      <w:r>
        <w:rPr>
          <w:rFonts w:ascii="宋体" w:hAnsi="宋体"/>
          <w:color w:val="000000"/>
          <w:sz w:val="22"/>
          <w:szCs w:val="22"/>
        </w:rPr>
        <w:t>我方不是</w:t>
      </w:r>
      <w:r>
        <w:rPr>
          <w:rFonts w:hint="eastAsia" w:ascii="宋体" w:hAnsi="宋体"/>
          <w:color w:val="000000"/>
          <w:sz w:val="22"/>
          <w:szCs w:val="22"/>
        </w:rPr>
        <w:t>招标</w:t>
      </w:r>
      <w:r>
        <w:rPr>
          <w:rFonts w:ascii="宋体" w:hAnsi="宋体"/>
          <w:color w:val="000000"/>
          <w:sz w:val="22"/>
          <w:szCs w:val="22"/>
        </w:rPr>
        <w:t>人的附属机构；在获知本项目采购信息后，与</w:t>
      </w:r>
      <w:r>
        <w:rPr>
          <w:rFonts w:hint="eastAsia" w:ascii="宋体" w:hAnsi="宋体"/>
          <w:color w:val="000000"/>
          <w:sz w:val="22"/>
          <w:szCs w:val="22"/>
        </w:rPr>
        <w:t>招标</w:t>
      </w:r>
      <w:r>
        <w:rPr>
          <w:rFonts w:ascii="宋体" w:hAnsi="宋体"/>
          <w:color w:val="000000"/>
          <w:sz w:val="22"/>
          <w:szCs w:val="22"/>
        </w:rPr>
        <w:t>人聘请的为此项目提供咨询服务的公司及其附属机构没有任何联系。</w:t>
      </w:r>
    </w:p>
    <w:p w14:paraId="42B1D0C4">
      <w:pPr>
        <w:snapToGrid w:val="0"/>
        <w:spacing w:before="156" w:beforeLines="50" w:line="360" w:lineRule="auto"/>
        <w:ind w:firstLine="440" w:firstLineChars="200"/>
        <w:rPr>
          <w:rFonts w:ascii="宋体" w:hAnsi="宋体"/>
          <w:color w:val="000000"/>
          <w:sz w:val="22"/>
          <w:szCs w:val="22"/>
        </w:rPr>
      </w:pPr>
      <w:r>
        <w:rPr>
          <w:rFonts w:hint="eastAsia" w:ascii="宋体" w:hAnsi="宋体"/>
          <w:color w:val="000000"/>
          <w:sz w:val="22"/>
          <w:szCs w:val="22"/>
        </w:rPr>
        <w:t>3.我方具有独立承担民事责任的能力；具有良好的商业信誉和健全的财务会计制度；具有履行合同所必需专业技术能力。有能力提供本次招标项目及所要求的服务。</w:t>
      </w:r>
    </w:p>
    <w:p w14:paraId="339228A3">
      <w:pPr>
        <w:snapToGrid w:val="0"/>
        <w:spacing w:before="156" w:beforeLines="50" w:line="360" w:lineRule="auto"/>
        <w:ind w:firstLine="440" w:firstLineChars="200"/>
        <w:rPr>
          <w:rFonts w:ascii="宋体" w:hAnsi="宋体"/>
          <w:color w:val="000000"/>
          <w:sz w:val="22"/>
          <w:szCs w:val="22"/>
        </w:rPr>
      </w:pPr>
      <w:r>
        <w:rPr>
          <w:rFonts w:hint="eastAsia" w:ascii="宋体" w:hAnsi="宋体"/>
          <w:color w:val="000000"/>
          <w:sz w:val="22"/>
          <w:szCs w:val="22"/>
        </w:rPr>
        <w:t>4.我方承诺遵守“单位负责人为同一人或者存在控股、管理关系的不同单位，不得参加同一标段投标，否则均按否决投标处理。”</w:t>
      </w:r>
    </w:p>
    <w:p w14:paraId="1FE28291">
      <w:pPr>
        <w:snapToGrid w:val="0"/>
        <w:spacing w:before="156" w:beforeLines="50" w:line="360" w:lineRule="auto"/>
        <w:ind w:firstLine="440" w:firstLineChars="200"/>
        <w:rPr>
          <w:rFonts w:ascii="宋体" w:hAnsi="宋体"/>
          <w:color w:val="000000"/>
          <w:sz w:val="22"/>
          <w:szCs w:val="22"/>
        </w:rPr>
      </w:pPr>
      <w:r>
        <w:rPr>
          <w:rFonts w:hint="eastAsia" w:ascii="宋体" w:hAnsi="宋体"/>
          <w:color w:val="000000"/>
          <w:sz w:val="22"/>
          <w:szCs w:val="22"/>
        </w:rPr>
        <w:t>5.我方非联合体投标，如获中标，将严格履行合同义务，绝不转包或分包本项目</w:t>
      </w:r>
    </w:p>
    <w:p w14:paraId="084B553A">
      <w:pPr>
        <w:snapToGrid w:val="0"/>
        <w:spacing w:before="156" w:beforeLines="50" w:line="360" w:lineRule="auto"/>
        <w:ind w:firstLine="440" w:firstLineChars="200"/>
        <w:rPr>
          <w:rFonts w:ascii="宋体" w:hAnsi="宋体"/>
          <w:color w:val="000000"/>
          <w:sz w:val="22"/>
          <w:szCs w:val="22"/>
        </w:rPr>
      </w:pPr>
      <w:r>
        <w:rPr>
          <w:rFonts w:hint="eastAsia" w:ascii="宋体" w:hAnsi="宋体"/>
          <w:color w:val="000000"/>
          <w:sz w:val="22"/>
          <w:szCs w:val="22"/>
        </w:rPr>
        <w:t>6.我方符合招标文件规定的投标人资格条件。</w:t>
      </w:r>
    </w:p>
    <w:p w14:paraId="06F2EF91">
      <w:pPr>
        <w:snapToGrid w:val="0"/>
        <w:spacing w:line="360" w:lineRule="auto"/>
        <w:ind w:firstLine="440" w:firstLineChars="200"/>
        <w:rPr>
          <w:rFonts w:ascii="宋体" w:hAnsi="宋体"/>
          <w:color w:val="000000"/>
          <w:sz w:val="22"/>
          <w:szCs w:val="22"/>
        </w:rPr>
      </w:pPr>
      <w:r>
        <w:rPr>
          <w:rFonts w:hint="eastAsia" w:ascii="宋体" w:hAnsi="宋体"/>
          <w:color w:val="000000"/>
          <w:sz w:val="22"/>
          <w:szCs w:val="22"/>
        </w:rPr>
        <w:t>7.以上事项如有虚假或隐瞒，我方愿意承担一切后果，并不再寻求任何旨在减轻或免除法律责任的辩解。</w:t>
      </w:r>
    </w:p>
    <w:p w14:paraId="22445D6B">
      <w:pPr>
        <w:pStyle w:val="12"/>
        <w:tabs>
          <w:tab w:val="left" w:pos="939"/>
        </w:tabs>
        <w:snapToGrid w:val="0"/>
        <w:spacing w:line="360" w:lineRule="auto"/>
        <w:ind w:left="735" w:leftChars="150" w:hanging="420" w:hangingChars="191"/>
        <w:rPr>
          <w:rFonts w:ascii="宋体" w:hAnsi="宋体"/>
          <w:color w:val="000000"/>
          <w:sz w:val="22"/>
          <w:szCs w:val="22"/>
        </w:rPr>
      </w:pPr>
    </w:p>
    <w:p w14:paraId="23F4DB27">
      <w:pPr>
        <w:snapToGrid w:val="0"/>
        <w:spacing w:before="156" w:beforeLines="50" w:line="360" w:lineRule="auto"/>
        <w:ind w:firstLine="440" w:firstLineChars="200"/>
        <w:rPr>
          <w:rFonts w:ascii="宋体" w:hAnsi="宋体"/>
          <w:color w:val="000000"/>
          <w:sz w:val="22"/>
          <w:szCs w:val="22"/>
        </w:rPr>
      </w:pPr>
    </w:p>
    <w:p w14:paraId="6E21B1EC">
      <w:pPr>
        <w:spacing w:line="380" w:lineRule="exact"/>
        <w:jc w:val="left"/>
        <w:rPr>
          <w:rFonts w:ascii="新宋体" w:hAnsi="新宋体" w:eastAsia="新宋体"/>
          <w:sz w:val="22"/>
          <w:szCs w:val="22"/>
        </w:rPr>
      </w:pPr>
      <w:r>
        <w:rPr>
          <w:rFonts w:hint="eastAsia" w:ascii="新宋体" w:hAnsi="新宋体" w:eastAsia="新宋体"/>
          <w:sz w:val="22"/>
          <w:szCs w:val="22"/>
        </w:rPr>
        <w:t xml:space="preserve">投标人全称（加盖单位公章）： </w:t>
      </w:r>
    </w:p>
    <w:p w14:paraId="1EAAABCA">
      <w:pPr>
        <w:spacing w:line="380" w:lineRule="exact"/>
        <w:jc w:val="left"/>
        <w:rPr>
          <w:rFonts w:ascii="新宋体" w:hAnsi="新宋体" w:eastAsia="新宋体"/>
          <w:sz w:val="22"/>
          <w:szCs w:val="22"/>
        </w:rPr>
      </w:pPr>
      <w:r>
        <w:rPr>
          <w:rFonts w:hint="eastAsia" w:ascii="新宋体" w:hAnsi="新宋体" w:eastAsia="新宋体"/>
          <w:sz w:val="22"/>
          <w:szCs w:val="22"/>
        </w:rPr>
        <w:t>法定代表人或授权代表（签字或盖章）：</w:t>
      </w:r>
    </w:p>
    <w:p w14:paraId="70CFCAE9">
      <w:pPr>
        <w:spacing w:line="380" w:lineRule="exact"/>
        <w:jc w:val="left"/>
        <w:rPr>
          <w:rFonts w:ascii="新宋体" w:hAnsi="新宋体" w:eastAsia="新宋体"/>
          <w:sz w:val="22"/>
          <w:szCs w:val="22"/>
        </w:rPr>
      </w:pPr>
      <w:r>
        <w:rPr>
          <w:rFonts w:hint="eastAsia" w:ascii="新宋体" w:hAnsi="新宋体" w:eastAsia="新宋体"/>
          <w:sz w:val="22"/>
          <w:szCs w:val="22"/>
        </w:rPr>
        <w:t>日 期：  年  月  日</w:t>
      </w:r>
    </w:p>
    <w:p w14:paraId="2FBF7E22">
      <w:pPr>
        <w:spacing w:line="360" w:lineRule="auto"/>
        <w:jc w:val="center"/>
        <w:rPr>
          <w:rFonts w:ascii="宋体" w:hAnsi="宋体"/>
          <w:color w:val="000000"/>
          <w:sz w:val="28"/>
          <w:szCs w:val="28"/>
        </w:rPr>
      </w:pPr>
      <w:r>
        <w:rPr>
          <w:rFonts w:ascii="宋体" w:hAnsi="宋体"/>
          <w:color w:val="000000"/>
          <w:sz w:val="28"/>
          <w:szCs w:val="28"/>
        </w:rPr>
        <w:br w:type="page"/>
      </w:r>
    </w:p>
    <w:p w14:paraId="001E9CD3">
      <w:pPr>
        <w:spacing w:line="360" w:lineRule="auto"/>
        <w:jc w:val="left"/>
        <w:rPr>
          <w:rFonts w:ascii="宋体" w:hAnsi="宋体"/>
          <w:color w:val="000000"/>
          <w:sz w:val="28"/>
          <w:szCs w:val="28"/>
        </w:rPr>
      </w:pPr>
      <w:r>
        <w:rPr>
          <w:rFonts w:hint="eastAsia" w:ascii="宋体" w:hAnsi="宋体"/>
          <w:color w:val="000000"/>
          <w:sz w:val="28"/>
          <w:szCs w:val="28"/>
        </w:rPr>
        <w:t>附件一-3</w:t>
      </w:r>
    </w:p>
    <w:p w14:paraId="1659847A">
      <w:pPr>
        <w:spacing w:line="360" w:lineRule="auto"/>
        <w:jc w:val="center"/>
        <w:outlineLvl w:val="2"/>
        <w:rPr>
          <w:b/>
          <w:bCs/>
          <w:snapToGrid w:val="0"/>
          <w:sz w:val="28"/>
          <w:szCs w:val="28"/>
        </w:rPr>
      </w:pPr>
      <w:r>
        <w:rPr>
          <w:rFonts w:hint="eastAsia"/>
          <w:b/>
          <w:bCs/>
          <w:snapToGrid w:val="0"/>
          <w:sz w:val="28"/>
          <w:szCs w:val="28"/>
        </w:rPr>
        <w:t>营业执照(或事业法人登记证书或其它工商等登记证明材料)</w:t>
      </w:r>
    </w:p>
    <w:p w14:paraId="7D3066E5">
      <w:pPr>
        <w:spacing w:line="460" w:lineRule="exact"/>
        <w:rPr>
          <w:rFonts w:ascii="宋体" w:hAnsi="宋体" w:cs="Courier New"/>
          <w:b/>
          <w:sz w:val="22"/>
          <w:szCs w:val="22"/>
        </w:rPr>
      </w:pPr>
      <w:r>
        <w:rPr>
          <w:rFonts w:hint="eastAsia" w:ascii="宋体" w:hAnsi="宋体" w:cs="Courier New"/>
          <w:b/>
          <w:sz w:val="22"/>
          <w:szCs w:val="22"/>
        </w:rPr>
        <w:t>说明：</w:t>
      </w:r>
    </w:p>
    <w:p w14:paraId="2EC29881">
      <w:pPr>
        <w:spacing w:line="460" w:lineRule="exact"/>
        <w:rPr>
          <w:rFonts w:ascii="宋体" w:hAnsi="宋体" w:cs="Courier New"/>
          <w:bCs/>
          <w:sz w:val="22"/>
          <w:szCs w:val="22"/>
        </w:rPr>
      </w:pPr>
      <w:r>
        <w:rPr>
          <w:rFonts w:ascii="宋体" w:hAnsi="宋体" w:cs="Courier New"/>
          <w:bCs/>
          <w:sz w:val="22"/>
          <w:szCs w:val="22"/>
        </w:rPr>
        <w:t>1</w:t>
      </w:r>
      <w:r>
        <w:rPr>
          <w:rFonts w:hint="eastAsia" w:ascii="宋体" w:hAnsi="宋体" w:cs="Courier New"/>
          <w:bCs/>
          <w:sz w:val="22"/>
          <w:szCs w:val="22"/>
        </w:rPr>
        <w:t>、</w:t>
      </w:r>
      <w:r>
        <w:rPr>
          <w:rFonts w:ascii="宋体" w:hAnsi="宋体" w:cs="Courier New"/>
          <w:bCs/>
          <w:sz w:val="22"/>
          <w:szCs w:val="22"/>
        </w:rPr>
        <w:t>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其他供应商应按照有关法律、法规和规章规定，提供有效的相应具体证照复印件。</w:t>
      </w:r>
    </w:p>
    <w:p w14:paraId="5316663C">
      <w:pPr>
        <w:spacing w:line="460" w:lineRule="exact"/>
        <w:rPr>
          <w:rFonts w:ascii="宋体" w:hAnsi="宋体" w:cs="Courier New"/>
          <w:bCs/>
          <w:sz w:val="22"/>
          <w:szCs w:val="22"/>
        </w:rPr>
      </w:pPr>
      <w:r>
        <w:rPr>
          <w:rFonts w:ascii="宋体" w:hAnsi="宋体" w:cs="Courier New"/>
          <w:bCs/>
          <w:sz w:val="22"/>
          <w:szCs w:val="22"/>
        </w:rPr>
        <w:t>2、供应商提供的相应证明材料复印件均应符合：内容完整、清晰、整洁，并由供应商加盖其单位公章。</w:t>
      </w:r>
    </w:p>
    <w:p w14:paraId="496036FB">
      <w:pPr>
        <w:spacing w:line="460" w:lineRule="exact"/>
        <w:rPr>
          <w:rFonts w:ascii="宋体" w:hAnsi="宋体" w:cs="Courier New"/>
          <w:b/>
          <w:sz w:val="22"/>
          <w:szCs w:val="22"/>
        </w:rPr>
      </w:pPr>
      <w:r>
        <w:rPr>
          <w:rFonts w:hint="eastAsia" w:ascii="宋体" w:hAnsi="宋体" w:cs="Courier New"/>
          <w:b/>
          <w:sz w:val="22"/>
          <w:szCs w:val="22"/>
        </w:rPr>
        <w:t>3、经营范围必须明确包含相关检维修项目</w:t>
      </w:r>
    </w:p>
    <w:p w14:paraId="78AF786E">
      <w:pPr>
        <w:snapToGrid w:val="0"/>
        <w:spacing w:before="50" w:after="50" w:line="360" w:lineRule="auto"/>
        <w:rPr>
          <w:rFonts w:ascii="宋体" w:hAnsi="宋体" w:cs="宋体"/>
          <w:sz w:val="28"/>
          <w:szCs w:val="28"/>
        </w:rPr>
      </w:pPr>
    </w:p>
    <w:p w14:paraId="4CC21542">
      <w:pPr>
        <w:snapToGrid w:val="0"/>
        <w:spacing w:before="50" w:after="50" w:line="360" w:lineRule="auto"/>
        <w:rPr>
          <w:rFonts w:ascii="宋体" w:hAnsi="宋体" w:cs="宋体"/>
          <w:sz w:val="28"/>
          <w:szCs w:val="28"/>
        </w:rPr>
      </w:pPr>
    </w:p>
    <w:p w14:paraId="01D5E7BE">
      <w:pPr>
        <w:snapToGrid w:val="0"/>
        <w:spacing w:before="50" w:after="50" w:line="360" w:lineRule="auto"/>
        <w:rPr>
          <w:rFonts w:ascii="宋体" w:hAnsi="宋体" w:cs="宋体"/>
          <w:sz w:val="28"/>
          <w:szCs w:val="28"/>
        </w:rPr>
      </w:pPr>
    </w:p>
    <w:p w14:paraId="01B84EB7">
      <w:pPr>
        <w:snapToGrid w:val="0"/>
        <w:spacing w:before="50" w:after="50" w:line="360" w:lineRule="auto"/>
        <w:rPr>
          <w:rFonts w:ascii="宋体" w:hAnsi="宋体" w:cs="宋体"/>
          <w:sz w:val="28"/>
          <w:szCs w:val="28"/>
        </w:rPr>
      </w:pPr>
    </w:p>
    <w:p w14:paraId="5DBFE300">
      <w:pPr>
        <w:snapToGrid w:val="0"/>
        <w:spacing w:before="50" w:after="50" w:line="360" w:lineRule="auto"/>
        <w:rPr>
          <w:rFonts w:ascii="宋体" w:hAnsi="宋体" w:cs="宋体"/>
          <w:sz w:val="28"/>
          <w:szCs w:val="28"/>
        </w:rPr>
      </w:pPr>
    </w:p>
    <w:p w14:paraId="600C180E">
      <w:pPr>
        <w:snapToGrid w:val="0"/>
        <w:spacing w:before="50" w:after="50" w:line="360" w:lineRule="auto"/>
        <w:rPr>
          <w:rFonts w:ascii="宋体" w:hAnsi="宋体" w:cs="宋体"/>
          <w:sz w:val="28"/>
          <w:szCs w:val="28"/>
        </w:rPr>
      </w:pPr>
    </w:p>
    <w:p w14:paraId="6CDD0211">
      <w:pPr>
        <w:rPr>
          <w:rFonts w:ascii="宋体" w:hAnsi="宋体"/>
          <w:color w:val="000000"/>
          <w:sz w:val="28"/>
          <w:szCs w:val="28"/>
        </w:rPr>
      </w:pPr>
      <w:r>
        <w:rPr>
          <w:rFonts w:hint="eastAsia" w:ascii="宋体" w:hAnsi="宋体"/>
          <w:color w:val="000000"/>
          <w:sz w:val="28"/>
          <w:szCs w:val="28"/>
        </w:rPr>
        <w:br w:type="page"/>
      </w:r>
    </w:p>
    <w:p w14:paraId="4D5BAA25">
      <w:pPr>
        <w:spacing w:line="360" w:lineRule="auto"/>
        <w:jc w:val="left"/>
        <w:rPr>
          <w:rFonts w:ascii="宋体" w:hAnsi="宋体"/>
          <w:sz w:val="28"/>
          <w:szCs w:val="28"/>
        </w:rPr>
      </w:pPr>
      <w:r>
        <w:rPr>
          <w:rFonts w:hint="eastAsia" w:ascii="宋体" w:hAnsi="宋体"/>
          <w:sz w:val="28"/>
          <w:szCs w:val="28"/>
        </w:rPr>
        <w:t>附件一-4</w:t>
      </w:r>
    </w:p>
    <w:p w14:paraId="1EAAC586">
      <w:pPr>
        <w:wordWrap w:val="0"/>
        <w:spacing w:before="156" w:beforeLines="50" w:after="156" w:afterLines="50" w:line="400" w:lineRule="exact"/>
        <w:ind w:firstLine="440" w:firstLineChars="200"/>
        <w:outlineLvl w:val="2"/>
        <w:rPr>
          <w:rFonts w:ascii="宋体" w:hAnsi="宋体"/>
          <w:b/>
          <w:sz w:val="22"/>
          <w:szCs w:val="22"/>
        </w:rPr>
      </w:pPr>
      <w:r>
        <w:rPr>
          <w:rFonts w:hint="eastAsia" w:ascii="宋体" w:hAnsi="宋体"/>
          <w:sz w:val="22"/>
          <w:szCs w:val="22"/>
        </w:rPr>
        <w:t>投标人未被列入安全生产严重失信主体名单、失信被执行人名单、重大税收违法案件当事人名单、政府采购严重违法失信行为记录名单，信用信息以信用中国网站（www.creditchina.gov.cn）、中国政府采购网（www.ccgp.gov.cn）、应急管理部官方网站（https://zwfw.mem.gov.cn/zwthlw/pages/hlwmh/yyfw/qyaqscxycx/qyaqscxycx_index.html）公布为准；</w:t>
      </w:r>
    </w:p>
    <w:p w14:paraId="07D95D14">
      <w:pPr>
        <w:spacing w:before="156" w:beforeLines="50" w:after="156" w:afterLines="50" w:line="400" w:lineRule="exact"/>
        <w:rPr>
          <w:rFonts w:ascii="宋体" w:hAnsi="宋体"/>
          <w:b/>
          <w:sz w:val="22"/>
          <w:szCs w:val="22"/>
        </w:rPr>
      </w:pPr>
      <w:r>
        <w:rPr>
          <w:rFonts w:hint="eastAsia" w:ascii="宋体" w:hAnsi="宋体"/>
          <w:b/>
          <w:sz w:val="22"/>
          <w:szCs w:val="22"/>
        </w:rPr>
        <w:t>说明：</w:t>
      </w:r>
    </w:p>
    <w:p w14:paraId="3AF50783">
      <w:pPr>
        <w:spacing w:line="360" w:lineRule="auto"/>
        <w:jc w:val="left"/>
        <w:rPr>
          <w:rFonts w:ascii="宋体" w:hAnsi="宋体"/>
          <w:b/>
          <w:sz w:val="22"/>
          <w:szCs w:val="22"/>
        </w:rPr>
      </w:pPr>
      <w:r>
        <w:rPr>
          <w:rFonts w:hint="eastAsia" w:ascii="宋体" w:hAnsi="宋体"/>
          <w:b/>
          <w:sz w:val="22"/>
          <w:szCs w:val="22"/>
        </w:rPr>
        <w:t>投标人投标时可不提供，以招标人或招标代理机构在资格审查时的查询结果为准。</w:t>
      </w:r>
    </w:p>
    <w:p w14:paraId="273E94F1">
      <w:pPr>
        <w:spacing w:line="360" w:lineRule="auto"/>
        <w:jc w:val="left"/>
        <w:rPr>
          <w:rFonts w:ascii="宋体" w:hAnsi="宋体"/>
          <w:b/>
          <w:sz w:val="22"/>
          <w:szCs w:val="22"/>
        </w:rPr>
      </w:pPr>
    </w:p>
    <w:p w14:paraId="75F48018">
      <w:pPr>
        <w:rPr>
          <w:rFonts w:ascii="宋体" w:hAnsi="宋体"/>
          <w:b/>
          <w:sz w:val="22"/>
          <w:szCs w:val="22"/>
        </w:rPr>
      </w:pPr>
      <w:r>
        <w:rPr>
          <w:rFonts w:hint="eastAsia" w:ascii="宋体" w:hAnsi="宋体"/>
          <w:b/>
          <w:sz w:val="22"/>
          <w:szCs w:val="22"/>
        </w:rPr>
        <w:br w:type="page"/>
      </w:r>
    </w:p>
    <w:p w14:paraId="3F3C57D6">
      <w:pPr>
        <w:spacing w:line="360" w:lineRule="auto"/>
        <w:jc w:val="left"/>
        <w:rPr>
          <w:rFonts w:ascii="宋体" w:hAnsi="宋体"/>
          <w:sz w:val="28"/>
          <w:szCs w:val="28"/>
        </w:rPr>
      </w:pPr>
      <w:r>
        <w:rPr>
          <w:rFonts w:hint="eastAsia" w:ascii="宋体" w:hAnsi="宋体"/>
          <w:sz w:val="28"/>
          <w:szCs w:val="28"/>
        </w:rPr>
        <w:t>附件一-5</w:t>
      </w:r>
    </w:p>
    <w:p w14:paraId="1BD11B9E">
      <w:pPr>
        <w:spacing w:line="360" w:lineRule="auto"/>
        <w:jc w:val="left"/>
        <w:outlineLvl w:val="2"/>
        <w:rPr>
          <w:rFonts w:ascii="宋体" w:hAnsi="宋体" w:cs="新宋体"/>
          <w:bCs/>
          <w:kern w:val="0"/>
          <w:szCs w:val="21"/>
        </w:rPr>
      </w:pPr>
      <w:r>
        <w:rPr>
          <w:rFonts w:hint="eastAsia" w:ascii="宋体" w:hAnsi="宋体" w:cs="新宋体"/>
          <w:bCs/>
          <w:kern w:val="0"/>
          <w:szCs w:val="21"/>
        </w:rPr>
        <w:t>具有3年及以上相关业绩经验并提供证明材料。（即合同签订时间在2023年7月1日</w:t>
      </w:r>
      <w:r>
        <w:rPr>
          <w:rFonts w:hint="eastAsia" w:ascii="宋体" w:hAnsi="宋体" w:cs="新宋体"/>
          <w:b/>
          <w:kern w:val="0"/>
          <w:szCs w:val="21"/>
        </w:rPr>
        <w:t>以前</w:t>
      </w:r>
      <w:r>
        <w:rPr>
          <w:rFonts w:hint="eastAsia" w:ascii="宋体" w:hAnsi="宋体" w:cs="新宋体"/>
          <w:bCs/>
          <w:kern w:val="0"/>
          <w:szCs w:val="21"/>
        </w:rPr>
        <w:t>，须提供合同复印件并加盖单位公章）；</w:t>
      </w:r>
    </w:p>
    <w:p w14:paraId="2EC0AD5F">
      <w:pPr>
        <w:spacing w:line="360" w:lineRule="auto"/>
        <w:jc w:val="left"/>
        <w:rPr>
          <w:rFonts w:ascii="宋体" w:hAnsi="宋体"/>
          <w:b/>
          <w:sz w:val="22"/>
          <w:szCs w:val="22"/>
        </w:rPr>
      </w:pPr>
    </w:p>
    <w:p w14:paraId="539364AD">
      <w:pPr>
        <w:spacing w:line="360" w:lineRule="auto"/>
        <w:jc w:val="left"/>
        <w:rPr>
          <w:rFonts w:ascii="宋体" w:hAnsi="宋体"/>
          <w:b/>
          <w:sz w:val="22"/>
          <w:szCs w:val="22"/>
        </w:rPr>
      </w:pPr>
    </w:p>
    <w:p w14:paraId="494031D9">
      <w:pPr>
        <w:rPr>
          <w:rFonts w:ascii="宋体" w:hAnsi="宋体"/>
          <w:b/>
          <w:sz w:val="22"/>
          <w:szCs w:val="22"/>
        </w:rPr>
      </w:pPr>
      <w:r>
        <w:rPr>
          <w:rFonts w:hint="eastAsia" w:ascii="宋体" w:hAnsi="宋体"/>
          <w:b/>
          <w:sz w:val="22"/>
          <w:szCs w:val="22"/>
        </w:rPr>
        <w:br w:type="page"/>
      </w:r>
    </w:p>
    <w:p w14:paraId="39045427">
      <w:pPr>
        <w:spacing w:line="360" w:lineRule="auto"/>
        <w:jc w:val="left"/>
        <w:rPr>
          <w:rFonts w:ascii="宋体" w:hAnsi="宋体"/>
          <w:sz w:val="28"/>
          <w:szCs w:val="28"/>
        </w:rPr>
      </w:pPr>
      <w:r>
        <w:rPr>
          <w:rFonts w:hint="eastAsia" w:ascii="宋体" w:hAnsi="宋体"/>
          <w:sz w:val="28"/>
          <w:szCs w:val="28"/>
        </w:rPr>
        <w:t>附件一-6</w:t>
      </w:r>
    </w:p>
    <w:p w14:paraId="0062ED68">
      <w:pPr>
        <w:snapToGrid w:val="0"/>
        <w:spacing w:before="156" w:beforeLines="50" w:after="50" w:line="360" w:lineRule="auto"/>
        <w:jc w:val="center"/>
        <w:outlineLvl w:val="2"/>
        <w:rPr>
          <w:rFonts w:ascii="宋体" w:hAnsi="宋体"/>
          <w:b/>
          <w:sz w:val="28"/>
          <w:szCs w:val="28"/>
        </w:rPr>
      </w:pPr>
      <w:r>
        <w:rPr>
          <w:rFonts w:hint="eastAsia" w:ascii="宋体" w:hAnsi="宋体"/>
          <w:b/>
          <w:sz w:val="28"/>
          <w:szCs w:val="28"/>
        </w:rPr>
        <w:t>承诺函</w:t>
      </w:r>
    </w:p>
    <w:p w14:paraId="700568E2">
      <w:pPr>
        <w:spacing w:line="440" w:lineRule="exact"/>
        <w:rPr>
          <w:rFonts w:ascii="宋体" w:hAnsi="宋体" w:cs="宋体"/>
          <w:sz w:val="22"/>
          <w:szCs w:val="22"/>
        </w:rPr>
      </w:pPr>
      <w:r>
        <w:rPr>
          <w:rFonts w:hint="eastAsia" w:ascii="宋体" w:hAnsi="宋体" w:cs="Arial"/>
          <w:kern w:val="0"/>
          <w:sz w:val="22"/>
          <w:szCs w:val="22"/>
          <w:u w:val="single"/>
        </w:rPr>
        <w:t>温州金洋集装箱码头有限公司</w:t>
      </w:r>
      <w:r>
        <w:rPr>
          <w:rFonts w:hint="eastAsia" w:ascii="宋体" w:hAnsi="宋体" w:cs="宋体"/>
          <w:sz w:val="22"/>
          <w:szCs w:val="22"/>
        </w:rPr>
        <w:t>：</w:t>
      </w:r>
    </w:p>
    <w:p w14:paraId="4D722DAC">
      <w:pPr>
        <w:widowControl/>
        <w:adjustRightInd w:val="0"/>
        <w:snapToGrid w:val="0"/>
        <w:spacing w:line="360" w:lineRule="auto"/>
        <w:ind w:firstLine="440" w:firstLineChars="200"/>
        <w:jc w:val="left"/>
        <w:rPr>
          <w:rFonts w:ascii="宋体" w:hAnsi="宋体" w:cs="新宋体"/>
          <w:kern w:val="0"/>
          <w:sz w:val="22"/>
          <w:szCs w:val="22"/>
        </w:rPr>
      </w:pPr>
    </w:p>
    <w:p w14:paraId="784BDCB4">
      <w:pPr>
        <w:widowControl/>
        <w:adjustRightInd w:val="0"/>
        <w:snapToGrid w:val="0"/>
        <w:spacing w:line="360" w:lineRule="auto"/>
        <w:ind w:firstLine="440" w:firstLineChars="200"/>
        <w:jc w:val="left"/>
        <w:rPr>
          <w:rFonts w:ascii="宋体" w:hAnsi="宋体" w:cs="新宋体"/>
          <w:kern w:val="0"/>
          <w:sz w:val="22"/>
          <w:szCs w:val="22"/>
        </w:rPr>
      </w:pPr>
      <w:r>
        <w:rPr>
          <w:rFonts w:hint="eastAsia" w:ascii="宋体" w:hAnsi="宋体" w:cs="新宋体"/>
          <w:kern w:val="0"/>
          <w:sz w:val="22"/>
          <w:szCs w:val="22"/>
        </w:rPr>
        <w:t>我方</w:t>
      </w:r>
      <w:r>
        <w:rPr>
          <w:rFonts w:hint="eastAsia" w:ascii="宋体" w:hAnsi="宋体" w:cs="新宋体"/>
          <w:kern w:val="0"/>
          <w:sz w:val="22"/>
          <w:szCs w:val="22"/>
          <w:u w:val="single"/>
        </w:rPr>
        <w:t xml:space="preserve"> （投标人）</w:t>
      </w:r>
      <w:r>
        <w:rPr>
          <w:rFonts w:hint="eastAsia" w:ascii="宋体" w:hAnsi="宋体" w:cs="新宋体"/>
          <w:kern w:val="0"/>
          <w:sz w:val="22"/>
          <w:szCs w:val="22"/>
        </w:rPr>
        <w:t>承诺近3年公司所承担范围内无1人死亡及以上安全生产责任事故（含劳务外包人员）。</w:t>
      </w:r>
    </w:p>
    <w:p w14:paraId="39F6A557">
      <w:pPr>
        <w:widowControl/>
        <w:adjustRightInd w:val="0"/>
        <w:snapToGrid w:val="0"/>
        <w:spacing w:line="360" w:lineRule="auto"/>
        <w:ind w:firstLine="440" w:firstLineChars="200"/>
        <w:jc w:val="left"/>
        <w:rPr>
          <w:rFonts w:ascii="宋体" w:hAnsi="宋体" w:cs="新宋体"/>
          <w:kern w:val="0"/>
          <w:sz w:val="22"/>
          <w:szCs w:val="22"/>
        </w:rPr>
      </w:pPr>
      <w:r>
        <w:rPr>
          <w:rFonts w:hint="eastAsia" w:ascii="宋体" w:hAnsi="宋体" w:cs="新宋体"/>
          <w:kern w:val="0"/>
          <w:sz w:val="22"/>
          <w:szCs w:val="22"/>
        </w:rPr>
        <w:t>我方</w:t>
      </w:r>
      <w:r>
        <w:rPr>
          <w:rFonts w:hint="eastAsia" w:ascii="宋体" w:hAnsi="宋体" w:cs="新宋体"/>
          <w:kern w:val="0"/>
          <w:sz w:val="22"/>
          <w:szCs w:val="22"/>
          <w:u w:val="single"/>
        </w:rPr>
        <w:t xml:space="preserve"> （投标人）</w:t>
      </w:r>
      <w:r>
        <w:rPr>
          <w:rFonts w:hint="eastAsia" w:ascii="宋体" w:hAnsi="宋体" w:cs="新宋体"/>
          <w:kern w:val="0"/>
          <w:sz w:val="22"/>
          <w:szCs w:val="22"/>
        </w:rPr>
        <w:t>承诺，若中标，我方在签订合同前所有进场人员提供社保、商业或工伤保险证明至招标人处备案。</w:t>
      </w:r>
    </w:p>
    <w:p w14:paraId="1B87C3F6">
      <w:pPr>
        <w:widowControl/>
        <w:adjustRightInd w:val="0"/>
        <w:snapToGrid w:val="0"/>
        <w:spacing w:line="360" w:lineRule="auto"/>
        <w:ind w:firstLine="440" w:firstLineChars="200"/>
        <w:jc w:val="left"/>
        <w:rPr>
          <w:rFonts w:ascii="宋体" w:hAnsi="宋体" w:cs="新宋体"/>
          <w:kern w:val="0"/>
          <w:sz w:val="22"/>
          <w:szCs w:val="22"/>
        </w:rPr>
      </w:pPr>
      <w:r>
        <w:rPr>
          <w:rFonts w:hint="eastAsia" w:ascii="宋体" w:hAnsi="宋体" w:cs="新宋体"/>
          <w:kern w:val="0"/>
          <w:sz w:val="22"/>
          <w:szCs w:val="22"/>
        </w:rPr>
        <w:t>我方</w:t>
      </w:r>
      <w:r>
        <w:rPr>
          <w:rFonts w:hint="eastAsia" w:ascii="宋体" w:hAnsi="宋体" w:cs="新宋体"/>
          <w:kern w:val="0"/>
          <w:sz w:val="22"/>
          <w:szCs w:val="22"/>
          <w:u w:val="single"/>
        </w:rPr>
        <w:t xml:space="preserve"> （投标人）</w:t>
      </w:r>
      <w:r>
        <w:rPr>
          <w:rFonts w:hint="eastAsia" w:ascii="宋体" w:hAnsi="宋体" w:cs="新宋体"/>
          <w:kern w:val="0"/>
          <w:sz w:val="22"/>
          <w:szCs w:val="22"/>
        </w:rPr>
        <w:t>承诺具有履行本次</w:t>
      </w:r>
      <w:r>
        <w:rPr>
          <w:rFonts w:hint="eastAsia" w:ascii="宋体" w:hAnsi="宋体" w:cs="新宋体"/>
          <w:kern w:val="0"/>
          <w:sz w:val="22"/>
          <w:szCs w:val="22"/>
          <w:u w:val="single"/>
        </w:rPr>
        <w:t xml:space="preserve">     （项目编号：     </w:t>
      </w:r>
      <w:r>
        <w:rPr>
          <w:rFonts w:hint="eastAsia" w:ascii="宋体" w:hAnsi="宋体" w:cs="新宋体"/>
          <w:kern w:val="0"/>
          <w:sz w:val="22"/>
          <w:szCs w:val="22"/>
        </w:rPr>
        <w:t>）合同所必需的设备和专业技术能力。并具有良好的商业信誉和健全的财务会计制度，依法缴纳税收和社会保障资金，未被列入安全生产严重失信主体名单、失信被执行人名单、重大税收违法案件当事人名单、采购严重违法失信行为记录名单。</w:t>
      </w:r>
    </w:p>
    <w:p w14:paraId="0C73BE63">
      <w:pPr>
        <w:widowControl/>
        <w:adjustRightInd w:val="0"/>
        <w:snapToGrid w:val="0"/>
        <w:spacing w:line="360" w:lineRule="auto"/>
        <w:ind w:firstLine="440" w:firstLineChars="200"/>
        <w:jc w:val="left"/>
        <w:rPr>
          <w:rFonts w:ascii="宋体" w:hAnsi="宋体" w:cs="新宋体"/>
          <w:kern w:val="0"/>
          <w:sz w:val="22"/>
          <w:szCs w:val="22"/>
        </w:rPr>
      </w:pPr>
      <w:r>
        <w:rPr>
          <w:rFonts w:hint="eastAsia" w:ascii="宋体" w:hAnsi="宋体" w:cs="新宋体"/>
          <w:kern w:val="0"/>
          <w:sz w:val="22"/>
          <w:szCs w:val="22"/>
        </w:rPr>
        <w:t>如有虚假或隐瞒，我方愿意承担一切后果，并不再寻求任何旨在减轻或免除法律责任的辩解。招标人可取消我方任何资格（投标/中标/签订合同），我方对此无任何异议。</w:t>
      </w:r>
    </w:p>
    <w:p w14:paraId="79EFCFBE">
      <w:pPr>
        <w:widowControl/>
        <w:adjustRightInd w:val="0"/>
        <w:snapToGrid w:val="0"/>
        <w:spacing w:line="360" w:lineRule="auto"/>
        <w:ind w:firstLine="440" w:firstLineChars="200"/>
        <w:jc w:val="left"/>
        <w:rPr>
          <w:rFonts w:ascii="宋体" w:hAnsi="宋体" w:cs="新宋体"/>
          <w:kern w:val="0"/>
          <w:sz w:val="22"/>
          <w:szCs w:val="22"/>
        </w:rPr>
      </w:pPr>
    </w:p>
    <w:p w14:paraId="385ECDA6">
      <w:pPr>
        <w:widowControl/>
        <w:adjustRightInd w:val="0"/>
        <w:snapToGrid w:val="0"/>
        <w:spacing w:line="360" w:lineRule="auto"/>
        <w:ind w:firstLine="440" w:firstLineChars="200"/>
        <w:jc w:val="left"/>
        <w:rPr>
          <w:rFonts w:ascii="宋体" w:hAnsi="宋体" w:cs="新宋体"/>
          <w:kern w:val="0"/>
          <w:sz w:val="22"/>
          <w:szCs w:val="22"/>
        </w:rPr>
      </w:pPr>
    </w:p>
    <w:p w14:paraId="72427700">
      <w:pPr>
        <w:widowControl/>
        <w:adjustRightInd w:val="0"/>
        <w:snapToGrid w:val="0"/>
        <w:spacing w:line="440" w:lineRule="exact"/>
        <w:ind w:firstLine="440" w:firstLineChars="200"/>
        <w:jc w:val="left"/>
        <w:rPr>
          <w:rFonts w:ascii="宋体" w:hAnsi="宋体" w:cs="Arial"/>
          <w:kern w:val="0"/>
          <w:sz w:val="22"/>
          <w:szCs w:val="22"/>
        </w:rPr>
      </w:pPr>
      <w:r>
        <w:rPr>
          <w:rFonts w:hint="eastAsia" w:ascii="宋体" w:hAnsi="宋体" w:cs="Arial"/>
          <w:kern w:val="0"/>
          <w:sz w:val="22"/>
          <w:szCs w:val="22"/>
        </w:rPr>
        <w:t>特此承诺！</w:t>
      </w:r>
    </w:p>
    <w:p w14:paraId="0555E804">
      <w:pPr>
        <w:snapToGrid w:val="0"/>
        <w:spacing w:line="440" w:lineRule="exact"/>
        <w:jc w:val="left"/>
        <w:rPr>
          <w:rFonts w:ascii="宋体" w:hAnsi="宋体" w:cs="宋体"/>
          <w:b/>
          <w:sz w:val="22"/>
          <w:szCs w:val="22"/>
        </w:rPr>
      </w:pPr>
    </w:p>
    <w:p w14:paraId="3B616ECA">
      <w:pPr>
        <w:spacing w:line="440" w:lineRule="exact"/>
        <w:rPr>
          <w:rFonts w:ascii="宋体" w:hAnsi="宋体" w:cs="宋体"/>
          <w:sz w:val="22"/>
          <w:szCs w:val="22"/>
        </w:rPr>
      </w:pPr>
    </w:p>
    <w:p w14:paraId="3053537B">
      <w:pPr>
        <w:spacing w:line="440" w:lineRule="exact"/>
        <w:ind w:firstLine="440" w:firstLineChars="200"/>
        <w:rPr>
          <w:rFonts w:ascii="宋体" w:hAnsi="宋体" w:cs="宋体"/>
          <w:sz w:val="22"/>
          <w:szCs w:val="22"/>
        </w:rPr>
      </w:pPr>
      <w:r>
        <w:rPr>
          <w:rFonts w:hint="eastAsia" w:ascii="宋体" w:hAnsi="宋体" w:cs="宋体"/>
          <w:sz w:val="22"/>
          <w:szCs w:val="22"/>
        </w:rPr>
        <w:t>投标人全称（盖章）：</w:t>
      </w:r>
    </w:p>
    <w:p w14:paraId="259BDB9C">
      <w:pPr>
        <w:spacing w:line="440" w:lineRule="exact"/>
        <w:ind w:firstLine="440" w:firstLineChars="200"/>
        <w:rPr>
          <w:rFonts w:ascii="宋体" w:hAnsi="宋体" w:cs="宋体"/>
          <w:sz w:val="22"/>
          <w:szCs w:val="22"/>
        </w:rPr>
      </w:pPr>
      <w:r>
        <w:rPr>
          <w:rFonts w:hint="eastAsia" w:ascii="宋体" w:hAnsi="宋体" w:cs="宋体"/>
          <w:sz w:val="22"/>
          <w:szCs w:val="22"/>
        </w:rPr>
        <w:t>法定代表人或其授权代表（签字或盖章）：</w:t>
      </w:r>
    </w:p>
    <w:p w14:paraId="6C9BAD24">
      <w:pPr>
        <w:spacing w:line="440" w:lineRule="exact"/>
        <w:ind w:firstLine="440" w:firstLineChars="200"/>
        <w:rPr>
          <w:rFonts w:ascii="宋体" w:hAnsi="宋体" w:cs="宋体"/>
          <w:sz w:val="22"/>
          <w:szCs w:val="22"/>
        </w:rPr>
      </w:pPr>
      <w:r>
        <w:rPr>
          <w:rFonts w:hint="eastAsia" w:ascii="宋体" w:hAnsi="宋体" w:cs="宋体"/>
          <w:sz w:val="22"/>
          <w:szCs w:val="22"/>
        </w:rPr>
        <w:t>日期：     年   月  日</w:t>
      </w:r>
    </w:p>
    <w:p w14:paraId="7F7CCE10">
      <w:pPr>
        <w:spacing w:line="440" w:lineRule="exact"/>
        <w:ind w:firstLine="220" w:firstLineChars="100"/>
        <w:rPr>
          <w:rFonts w:ascii="宋体" w:hAnsi="宋体" w:cs="宋体"/>
          <w:kern w:val="0"/>
          <w:sz w:val="22"/>
          <w:szCs w:val="22"/>
        </w:rPr>
      </w:pPr>
    </w:p>
    <w:p w14:paraId="16F573E7">
      <w:pPr>
        <w:tabs>
          <w:tab w:val="left" w:pos="2830"/>
        </w:tabs>
        <w:snapToGrid w:val="0"/>
        <w:spacing w:before="50" w:after="50" w:line="360" w:lineRule="auto"/>
        <w:rPr>
          <w:rFonts w:ascii="宋体" w:hAnsi="宋体" w:cs="宋体"/>
          <w:sz w:val="28"/>
          <w:szCs w:val="28"/>
        </w:rPr>
      </w:pPr>
    </w:p>
    <w:p w14:paraId="015BE41C">
      <w:pPr>
        <w:tabs>
          <w:tab w:val="left" w:pos="2830"/>
        </w:tabs>
        <w:snapToGrid w:val="0"/>
        <w:spacing w:before="50" w:after="50" w:line="360" w:lineRule="auto"/>
        <w:rPr>
          <w:rFonts w:ascii="宋体" w:hAnsi="宋体" w:cs="宋体"/>
          <w:sz w:val="28"/>
          <w:szCs w:val="28"/>
        </w:rPr>
      </w:pPr>
    </w:p>
    <w:p w14:paraId="7494AF04">
      <w:pPr>
        <w:rPr>
          <w:rFonts w:ascii="宋体" w:hAnsi="宋体"/>
          <w:b/>
          <w:sz w:val="22"/>
          <w:szCs w:val="22"/>
        </w:rPr>
      </w:pPr>
      <w:r>
        <w:rPr>
          <w:rFonts w:hint="eastAsia" w:ascii="宋体" w:hAnsi="宋体"/>
          <w:b/>
          <w:sz w:val="22"/>
          <w:szCs w:val="22"/>
        </w:rPr>
        <w:br w:type="page"/>
      </w:r>
    </w:p>
    <w:p w14:paraId="520975A2">
      <w:pPr>
        <w:spacing w:line="360" w:lineRule="auto"/>
        <w:jc w:val="left"/>
        <w:rPr>
          <w:rFonts w:hint="eastAsia" w:ascii="宋体" w:hAnsi="宋体" w:eastAsia="宋体"/>
          <w:sz w:val="28"/>
          <w:szCs w:val="28"/>
          <w:lang w:val="en-US" w:eastAsia="zh-CN"/>
        </w:rPr>
      </w:pPr>
      <w:r>
        <w:rPr>
          <w:rFonts w:hint="eastAsia" w:ascii="宋体" w:hAnsi="宋体"/>
          <w:sz w:val="28"/>
          <w:szCs w:val="28"/>
        </w:rPr>
        <w:t>附件一-</w:t>
      </w:r>
      <w:r>
        <w:rPr>
          <w:rFonts w:hint="eastAsia" w:ascii="宋体" w:hAnsi="宋体"/>
          <w:sz w:val="28"/>
          <w:szCs w:val="28"/>
          <w:lang w:val="en-US" w:eastAsia="zh-CN"/>
        </w:rPr>
        <w:t>7</w:t>
      </w:r>
    </w:p>
    <w:p w14:paraId="613F80F4">
      <w:pPr>
        <w:snapToGrid w:val="0"/>
        <w:spacing w:before="156" w:beforeLines="50" w:after="50" w:line="360" w:lineRule="auto"/>
        <w:jc w:val="center"/>
        <w:outlineLvl w:val="2"/>
        <w:rPr>
          <w:rFonts w:ascii="宋体" w:hAnsi="宋体"/>
          <w:b/>
          <w:sz w:val="28"/>
          <w:szCs w:val="28"/>
        </w:rPr>
      </w:pPr>
      <w:r>
        <w:rPr>
          <w:rFonts w:hint="eastAsia" w:ascii="宋体" w:hAnsi="宋体"/>
          <w:b/>
          <w:sz w:val="28"/>
          <w:szCs w:val="28"/>
        </w:rPr>
        <w:t>特种设备生产许可证</w:t>
      </w:r>
    </w:p>
    <w:p w14:paraId="63FB9637">
      <w:pPr>
        <w:snapToGrid w:val="0"/>
        <w:spacing w:line="360" w:lineRule="auto"/>
        <w:ind w:firstLine="420" w:firstLineChars="200"/>
        <w:jc w:val="left"/>
        <w:rPr>
          <w:rFonts w:hint="eastAsia" w:cs="宋体"/>
          <w:color w:val="000000"/>
          <w:szCs w:val="21"/>
        </w:rPr>
      </w:pPr>
      <w:r>
        <w:rPr>
          <w:rFonts w:hint="eastAsia" w:cs="宋体"/>
          <w:color w:val="000000"/>
          <w:szCs w:val="21"/>
        </w:rPr>
        <w:t>具有有效的《特种设备生产许可证》，且许可项目包含场（厂）内专用机动车辆修理</w:t>
      </w:r>
      <w:r>
        <w:rPr>
          <w:rFonts w:hint="eastAsia" w:cs="宋体"/>
          <w:color w:val="000000"/>
          <w:szCs w:val="21"/>
          <w:lang w:eastAsia="zh-CN"/>
        </w:rPr>
        <w:t>，</w:t>
      </w:r>
      <w:r>
        <w:rPr>
          <w:rFonts w:hint="eastAsia" w:cs="宋体"/>
          <w:color w:val="000000"/>
          <w:szCs w:val="21"/>
        </w:rPr>
        <w:t>且子项目包含“机动工业车辆（叉车）。</w:t>
      </w:r>
    </w:p>
    <w:p w14:paraId="403F5F6D">
      <w:pPr>
        <w:spacing w:line="440" w:lineRule="exact"/>
        <w:ind w:firstLine="220" w:firstLineChars="100"/>
        <w:rPr>
          <w:rFonts w:ascii="宋体" w:hAnsi="宋体" w:cs="宋体"/>
          <w:kern w:val="0"/>
          <w:sz w:val="22"/>
          <w:szCs w:val="22"/>
        </w:rPr>
      </w:pPr>
    </w:p>
    <w:p w14:paraId="59442DB1">
      <w:pPr>
        <w:spacing w:before="0" w:beforeLines="-2147483648" w:after="0" w:afterLines="-2147483648"/>
        <w:rPr>
          <w:rFonts w:hint="eastAsia" w:ascii="宋体" w:hAnsi="宋体"/>
          <w:sz w:val="22"/>
          <w:szCs w:val="22"/>
        </w:rPr>
      </w:pPr>
      <w:r>
        <w:rPr>
          <w:rFonts w:hint="eastAsia" w:ascii="宋体" w:hAnsi="宋体"/>
          <w:sz w:val="22"/>
          <w:szCs w:val="22"/>
        </w:rPr>
        <w:br w:type="page"/>
      </w:r>
    </w:p>
    <w:p w14:paraId="36FDFB36">
      <w:pPr>
        <w:spacing w:before="156" w:beforeLines="50" w:after="156" w:afterLines="50"/>
        <w:rPr>
          <w:rFonts w:ascii="宋体" w:hAnsi="宋体"/>
          <w:sz w:val="22"/>
          <w:szCs w:val="22"/>
        </w:rPr>
      </w:pPr>
      <w:r>
        <w:rPr>
          <w:rFonts w:hint="eastAsia" w:ascii="宋体" w:hAnsi="宋体"/>
          <w:sz w:val="22"/>
          <w:szCs w:val="22"/>
        </w:rPr>
        <w:t>（商务技术标封面，供参考）</w:t>
      </w:r>
    </w:p>
    <w:p w14:paraId="7C14471A">
      <w:pPr>
        <w:spacing w:before="156" w:beforeLines="50" w:after="156" w:afterLines="50"/>
        <w:rPr>
          <w:rFonts w:ascii="宋体" w:hAnsi="宋体"/>
          <w:sz w:val="22"/>
          <w:szCs w:val="22"/>
        </w:rPr>
      </w:pPr>
    </w:p>
    <w:p w14:paraId="1BB40CA7">
      <w:pPr>
        <w:rPr>
          <w:rFonts w:ascii="宋体" w:hAnsi="宋体" w:cs="新宋体"/>
        </w:rPr>
      </w:pPr>
    </w:p>
    <w:p w14:paraId="6E0F826E">
      <w:pPr>
        <w:rPr>
          <w:rFonts w:ascii="宋体" w:hAnsi="宋体" w:cs="新宋体"/>
        </w:rPr>
      </w:pPr>
    </w:p>
    <w:p w14:paraId="6EEFDDA6">
      <w:pPr>
        <w:rPr>
          <w:rFonts w:ascii="宋体" w:hAnsi="宋体" w:cs="新宋体"/>
        </w:rPr>
      </w:pPr>
    </w:p>
    <w:p w14:paraId="3A8EFBFD">
      <w:pPr>
        <w:jc w:val="center"/>
        <w:rPr>
          <w:rFonts w:ascii="宋体" w:hAnsi="宋体" w:cs="新宋体"/>
          <w:sz w:val="28"/>
          <w:szCs w:val="28"/>
        </w:rPr>
      </w:pPr>
      <w:r>
        <w:rPr>
          <w:rFonts w:hint="eastAsia" w:ascii="宋体" w:hAnsi="宋体" w:cs="新宋体"/>
          <w:sz w:val="28"/>
          <w:szCs w:val="28"/>
          <w:u w:val="single"/>
        </w:rPr>
        <w:t>（项目名称）</w:t>
      </w:r>
      <w:r>
        <w:rPr>
          <w:rFonts w:hint="eastAsia" w:ascii="宋体" w:hAnsi="宋体" w:cs="新宋体"/>
          <w:sz w:val="28"/>
          <w:szCs w:val="28"/>
        </w:rPr>
        <w:t>投标文件</w:t>
      </w:r>
    </w:p>
    <w:p w14:paraId="336238FD">
      <w:pPr>
        <w:rPr>
          <w:rFonts w:ascii="宋体" w:hAnsi="宋体" w:cs="新宋体"/>
          <w:sz w:val="28"/>
          <w:szCs w:val="28"/>
        </w:rPr>
      </w:pPr>
    </w:p>
    <w:p w14:paraId="4E33F559">
      <w:pPr>
        <w:rPr>
          <w:rFonts w:ascii="宋体" w:hAnsi="宋体" w:cs="新宋体"/>
          <w:sz w:val="28"/>
          <w:szCs w:val="28"/>
        </w:rPr>
      </w:pPr>
    </w:p>
    <w:p w14:paraId="625DB96A">
      <w:pPr>
        <w:pStyle w:val="9"/>
        <w:ind w:left="980" w:firstLine="280"/>
        <w:rPr>
          <w:rFonts w:ascii="宋体" w:hAnsi="宋体" w:cs="新宋体"/>
          <w:sz w:val="28"/>
          <w:szCs w:val="28"/>
        </w:rPr>
      </w:pPr>
    </w:p>
    <w:p w14:paraId="6D0A91BD">
      <w:pPr>
        <w:rPr>
          <w:rFonts w:ascii="宋体" w:hAnsi="宋体" w:cs="新宋体"/>
          <w:sz w:val="28"/>
          <w:szCs w:val="28"/>
        </w:rPr>
      </w:pPr>
    </w:p>
    <w:p w14:paraId="4A1EB689">
      <w:pPr>
        <w:spacing w:line="360" w:lineRule="auto"/>
        <w:jc w:val="center"/>
        <w:outlineLvl w:val="1"/>
        <w:rPr>
          <w:rFonts w:ascii="宋体" w:hAnsi="宋体" w:cs="新宋体"/>
          <w:sz w:val="52"/>
          <w:szCs w:val="52"/>
        </w:rPr>
      </w:pPr>
      <w:r>
        <w:rPr>
          <w:rFonts w:hint="eastAsia" w:ascii="宋体" w:hAnsi="宋体" w:cs="新宋体"/>
          <w:sz w:val="52"/>
          <w:szCs w:val="52"/>
        </w:rPr>
        <w:t>商务技术标</w:t>
      </w:r>
    </w:p>
    <w:p w14:paraId="1AB1DAB1">
      <w:pPr>
        <w:spacing w:line="360" w:lineRule="auto"/>
        <w:rPr>
          <w:rFonts w:ascii="宋体" w:hAnsi="宋体" w:cs="新宋体"/>
          <w:szCs w:val="21"/>
        </w:rPr>
      </w:pPr>
    </w:p>
    <w:p w14:paraId="727636E4">
      <w:pPr>
        <w:spacing w:line="360" w:lineRule="auto"/>
        <w:rPr>
          <w:rFonts w:ascii="宋体" w:hAnsi="宋体" w:cs="新宋体"/>
          <w:szCs w:val="21"/>
        </w:rPr>
      </w:pPr>
    </w:p>
    <w:p w14:paraId="6A74A668">
      <w:pPr>
        <w:spacing w:line="360" w:lineRule="auto"/>
        <w:rPr>
          <w:rFonts w:ascii="宋体" w:hAnsi="宋体" w:cs="新宋体"/>
          <w:szCs w:val="21"/>
        </w:rPr>
      </w:pPr>
    </w:p>
    <w:p w14:paraId="68A32D1D">
      <w:pPr>
        <w:pStyle w:val="9"/>
        <w:ind w:left="840" w:firstLine="210"/>
        <w:rPr>
          <w:rFonts w:ascii="宋体" w:hAnsi="宋体"/>
        </w:rPr>
      </w:pPr>
    </w:p>
    <w:p w14:paraId="3DCAA71E">
      <w:pPr>
        <w:pStyle w:val="9"/>
        <w:ind w:left="840" w:firstLine="210"/>
        <w:rPr>
          <w:rFonts w:ascii="宋体" w:hAnsi="宋体"/>
        </w:rPr>
      </w:pPr>
    </w:p>
    <w:p w14:paraId="07DE2B76">
      <w:pPr>
        <w:pStyle w:val="9"/>
        <w:ind w:left="840" w:firstLine="210"/>
        <w:rPr>
          <w:rFonts w:ascii="宋体" w:hAnsi="宋体"/>
        </w:rPr>
      </w:pPr>
    </w:p>
    <w:p w14:paraId="59143740">
      <w:pPr>
        <w:pStyle w:val="9"/>
        <w:ind w:left="840" w:firstLine="210"/>
        <w:rPr>
          <w:rFonts w:ascii="宋体" w:hAnsi="宋体"/>
        </w:rPr>
      </w:pPr>
    </w:p>
    <w:p w14:paraId="790E81FC">
      <w:pPr>
        <w:pStyle w:val="9"/>
        <w:ind w:left="840" w:firstLine="210"/>
        <w:rPr>
          <w:rFonts w:ascii="宋体" w:hAnsi="宋体"/>
        </w:rPr>
      </w:pPr>
    </w:p>
    <w:p w14:paraId="41C23852">
      <w:pPr>
        <w:spacing w:line="360" w:lineRule="auto"/>
        <w:rPr>
          <w:rFonts w:ascii="宋体" w:hAnsi="宋体" w:cs="新宋体"/>
          <w:szCs w:val="21"/>
        </w:rPr>
      </w:pPr>
    </w:p>
    <w:p w14:paraId="4845B525">
      <w:pPr>
        <w:jc w:val="center"/>
        <w:rPr>
          <w:rFonts w:ascii="宋体" w:hAnsi="宋体" w:cs="新宋体"/>
          <w:sz w:val="28"/>
          <w:szCs w:val="28"/>
        </w:rPr>
      </w:pPr>
      <w:r>
        <w:rPr>
          <w:rFonts w:hint="eastAsia" w:ascii="宋体" w:hAnsi="宋体" w:cs="新宋体"/>
          <w:sz w:val="28"/>
          <w:szCs w:val="28"/>
        </w:rPr>
        <w:t>投标人：（盖单位章）</w:t>
      </w:r>
    </w:p>
    <w:p w14:paraId="24593ABC">
      <w:pPr>
        <w:rPr>
          <w:rFonts w:ascii="宋体" w:hAnsi="宋体" w:cs="新宋体"/>
          <w:sz w:val="28"/>
          <w:szCs w:val="28"/>
          <w:u w:val="single"/>
        </w:rPr>
      </w:pPr>
    </w:p>
    <w:p w14:paraId="2E83DF0E">
      <w:pPr>
        <w:jc w:val="center"/>
        <w:rPr>
          <w:rFonts w:ascii="宋体" w:hAnsi="宋体" w:cs="新宋体"/>
          <w:sz w:val="28"/>
          <w:szCs w:val="28"/>
        </w:rPr>
      </w:pPr>
      <w:r>
        <w:rPr>
          <w:rFonts w:hint="eastAsia" w:ascii="宋体" w:hAnsi="宋体" w:cs="新宋体"/>
          <w:sz w:val="28"/>
          <w:szCs w:val="28"/>
        </w:rPr>
        <w:t>法定代表人或授权代表：（签字或盖章）</w:t>
      </w:r>
    </w:p>
    <w:p w14:paraId="073BBE2A">
      <w:pPr>
        <w:rPr>
          <w:rFonts w:ascii="宋体" w:hAnsi="宋体" w:cs="新宋体"/>
          <w:sz w:val="28"/>
          <w:szCs w:val="28"/>
        </w:rPr>
      </w:pPr>
    </w:p>
    <w:p w14:paraId="768DEB73">
      <w:pPr>
        <w:jc w:val="center"/>
        <w:rPr>
          <w:rFonts w:ascii="宋体" w:hAnsi="宋体" w:cs="新宋体"/>
          <w:sz w:val="28"/>
          <w:szCs w:val="28"/>
        </w:rPr>
      </w:pPr>
      <w:r>
        <w:rPr>
          <w:rFonts w:hint="eastAsia" w:ascii="宋体" w:hAnsi="宋体" w:cs="新宋体"/>
          <w:sz w:val="28"/>
          <w:szCs w:val="28"/>
        </w:rPr>
        <w:t>年   月   日</w:t>
      </w:r>
    </w:p>
    <w:p w14:paraId="39644A8E">
      <w:pPr>
        <w:widowControl/>
        <w:jc w:val="left"/>
        <w:rPr>
          <w:rFonts w:ascii="宋体" w:hAnsi="宋体"/>
          <w:color w:val="000000"/>
          <w:sz w:val="24"/>
          <w:szCs w:val="28"/>
        </w:rPr>
      </w:pPr>
      <w:r>
        <w:rPr>
          <w:rFonts w:hint="eastAsia" w:ascii="宋体" w:hAnsi="宋体" w:cs="宋体"/>
        </w:rPr>
        <w:br w:type="page"/>
      </w:r>
    </w:p>
    <w:p w14:paraId="027B255A">
      <w:pPr>
        <w:jc w:val="center"/>
        <w:outlineLvl w:val="2"/>
        <w:rPr>
          <w:rFonts w:ascii="宋体" w:hAnsi="宋体" w:cs="新宋体"/>
          <w:b/>
          <w:bCs/>
          <w:sz w:val="52"/>
          <w:szCs w:val="52"/>
        </w:rPr>
      </w:pPr>
      <w:r>
        <w:rPr>
          <w:rFonts w:hint="eastAsia" w:ascii="宋体" w:hAnsi="宋体" w:cs="新宋体"/>
          <w:b/>
          <w:bCs/>
          <w:sz w:val="52"/>
          <w:szCs w:val="52"/>
        </w:rPr>
        <w:t>目    录</w:t>
      </w:r>
    </w:p>
    <w:p w14:paraId="02F63F74">
      <w:pPr>
        <w:pStyle w:val="9"/>
        <w:ind w:left="420" w:firstLine="0" w:firstLineChars="0"/>
        <w:rPr>
          <w:rFonts w:ascii="宋体" w:hAnsi="宋体"/>
          <w:sz w:val="22"/>
          <w:szCs w:val="22"/>
        </w:rPr>
      </w:pPr>
    </w:p>
    <w:p w14:paraId="747C771C">
      <w:pPr>
        <w:numPr>
          <w:ilvl w:val="255"/>
          <w:numId w:val="0"/>
        </w:numPr>
        <w:spacing w:line="460" w:lineRule="exact"/>
        <w:rPr>
          <w:rFonts w:ascii="宋体" w:hAnsi="宋体" w:cs="新宋体"/>
          <w:sz w:val="22"/>
          <w:szCs w:val="22"/>
        </w:rPr>
      </w:pPr>
      <w:r>
        <w:rPr>
          <w:rFonts w:hint="eastAsia" w:ascii="宋体" w:hAnsi="宋体" w:cs="新宋体"/>
          <w:sz w:val="22"/>
          <w:szCs w:val="22"/>
        </w:rPr>
        <w:t>1</w:t>
      </w:r>
      <w:r>
        <w:rPr>
          <w:rFonts w:hint="eastAsia" w:ascii="宋体" w:hAnsi="宋体" w:cs="新宋体"/>
          <w:sz w:val="22"/>
          <w:szCs w:val="22"/>
        </w:rPr>
        <w:tab/>
      </w:r>
      <w:r>
        <w:rPr>
          <w:rFonts w:hint="eastAsia" w:ascii="宋体" w:hAnsi="宋体" w:cs="新宋体"/>
          <w:sz w:val="22"/>
          <w:szCs w:val="22"/>
        </w:rPr>
        <w:t>投标函</w:t>
      </w:r>
    </w:p>
    <w:p w14:paraId="5D416643">
      <w:pPr>
        <w:numPr>
          <w:ilvl w:val="255"/>
          <w:numId w:val="0"/>
        </w:numPr>
        <w:spacing w:line="460" w:lineRule="exact"/>
        <w:rPr>
          <w:rFonts w:ascii="宋体" w:hAnsi="宋体" w:cs="新宋体"/>
          <w:sz w:val="22"/>
          <w:szCs w:val="22"/>
        </w:rPr>
      </w:pPr>
      <w:r>
        <w:rPr>
          <w:rFonts w:hint="eastAsia" w:ascii="宋体" w:hAnsi="宋体" w:cs="新宋体"/>
          <w:sz w:val="22"/>
          <w:szCs w:val="22"/>
        </w:rPr>
        <w:t>2</w:t>
      </w:r>
      <w:r>
        <w:rPr>
          <w:rFonts w:hint="eastAsia" w:ascii="宋体" w:hAnsi="宋体" w:cs="新宋体"/>
          <w:sz w:val="22"/>
          <w:szCs w:val="22"/>
        </w:rPr>
        <w:tab/>
      </w:r>
      <w:r>
        <w:rPr>
          <w:rFonts w:hint="eastAsia" w:ascii="宋体" w:hAnsi="宋体" w:cs="新宋体"/>
          <w:sz w:val="22"/>
          <w:szCs w:val="22"/>
        </w:rPr>
        <w:t>技术规格、商务条款偏离表</w:t>
      </w:r>
    </w:p>
    <w:p w14:paraId="6F6144F6">
      <w:pPr>
        <w:numPr>
          <w:ilvl w:val="255"/>
          <w:numId w:val="0"/>
        </w:numPr>
        <w:spacing w:line="460" w:lineRule="exact"/>
        <w:rPr>
          <w:rFonts w:ascii="宋体" w:hAnsi="宋体" w:cs="新宋体"/>
          <w:sz w:val="22"/>
          <w:szCs w:val="22"/>
        </w:rPr>
      </w:pPr>
      <w:r>
        <w:rPr>
          <w:rFonts w:hint="eastAsia" w:ascii="宋体" w:hAnsi="宋体" w:cs="新宋体"/>
          <w:sz w:val="22"/>
          <w:szCs w:val="22"/>
        </w:rPr>
        <w:t>3   投标人20</w:t>
      </w:r>
      <w:r>
        <w:rPr>
          <w:rFonts w:ascii="宋体" w:hAnsi="宋体" w:cs="新宋体"/>
          <w:sz w:val="22"/>
          <w:szCs w:val="22"/>
        </w:rPr>
        <w:t>2</w:t>
      </w:r>
      <w:r>
        <w:rPr>
          <w:rFonts w:hint="eastAsia" w:ascii="宋体" w:hAnsi="宋体" w:cs="新宋体"/>
          <w:sz w:val="22"/>
          <w:szCs w:val="22"/>
        </w:rPr>
        <w:t>3年7月1日以来同类项目业绩</w:t>
      </w:r>
    </w:p>
    <w:p w14:paraId="503644A6">
      <w:pPr>
        <w:numPr>
          <w:ilvl w:val="255"/>
          <w:numId w:val="0"/>
        </w:numPr>
        <w:spacing w:line="460" w:lineRule="exact"/>
        <w:rPr>
          <w:rFonts w:ascii="宋体" w:hAnsi="宋体" w:cs="新宋体"/>
          <w:sz w:val="22"/>
          <w:szCs w:val="22"/>
        </w:rPr>
      </w:pPr>
      <w:r>
        <w:rPr>
          <w:rFonts w:hint="eastAsia" w:ascii="宋体" w:hAnsi="宋体" w:cs="新宋体"/>
          <w:sz w:val="22"/>
          <w:szCs w:val="22"/>
        </w:rPr>
        <w:t xml:space="preserve">4 </w:t>
      </w:r>
      <w:r>
        <w:rPr>
          <w:rFonts w:ascii="宋体" w:hAnsi="宋体" w:cs="新宋体"/>
          <w:sz w:val="22"/>
          <w:szCs w:val="22"/>
        </w:rPr>
        <w:t xml:space="preserve"> </w:t>
      </w:r>
      <w:r>
        <w:rPr>
          <w:rFonts w:hint="eastAsia" w:ascii="宋体" w:hAnsi="宋体" w:cs="新宋体"/>
          <w:sz w:val="22"/>
          <w:szCs w:val="22"/>
        </w:rPr>
        <w:t xml:space="preserve"> 投标人的基本情况</w:t>
      </w:r>
    </w:p>
    <w:p w14:paraId="7B36E3DF">
      <w:pPr>
        <w:numPr>
          <w:ilvl w:val="255"/>
          <w:numId w:val="0"/>
        </w:numPr>
        <w:spacing w:line="460" w:lineRule="exact"/>
        <w:rPr>
          <w:rFonts w:ascii="宋体" w:hAnsi="宋体" w:cs="新宋体"/>
          <w:sz w:val="22"/>
          <w:szCs w:val="22"/>
        </w:rPr>
      </w:pPr>
      <w:r>
        <w:rPr>
          <w:rFonts w:hint="eastAsia" w:ascii="宋体" w:hAnsi="宋体" w:cs="新宋体"/>
          <w:sz w:val="22"/>
          <w:szCs w:val="22"/>
        </w:rPr>
        <w:t xml:space="preserve">5 </w:t>
      </w:r>
      <w:r>
        <w:rPr>
          <w:rFonts w:ascii="宋体" w:hAnsi="宋体" w:cs="新宋体"/>
          <w:sz w:val="22"/>
          <w:szCs w:val="22"/>
        </w:rPr>
        <w:t xml:space="preserve"> </w:t>
      </w:r>
      <w:r>
        <w:rPr>
          <w:rFonts w:hint="eastAsia" w:ascii="宋体" w:hAnsi="宋体" w:cs="新宋体"/>
          <w:sz w:val="22"/>
          <w:szCs w:val="22"/>
        </w:rPr>
        <w:t xml:space="preserve"> 质保期、工期承诺函</w:t>
      </w:r>
    </w:p>
    <w:p w14:paraId="7636A614">
      <w:pPr>
        <w:numPr>
          <w:ilvl w:val="255"/>
          <w:numId w:val="0"/>
        </w:numPr>
        <w:spacing w:line="460" w:lineRule="exact"/>
        <w:rPr>
          <w:rFonts w:ascii="宋体" w:hAnsi="宋体" w:cs="新宋体"/>
          <w:sz w:val="22"/>
          <w:szCs w:val="22"/>
        </w:rPr>
      </w:pPr>
      <w:r>
        <w:rPr>
          <w:rFonts w:hint="eastAsia" w:ascii="宋体" w:hAnsi="宋体" w:cs="新宋体"/>
          <w:sz w:val="22"/>
          <w:szCs w:val="22"/>
        </w:rPr>
        <w:t xml:space="preserve">6 </w:t>
      </w:r>
      <w:r>
        <w:rPr>
          <w:rFonts w:ascii="宋体" w:hAnsi="宋体" w:cs="新宋体"/>
          <w:sz w:val="22"/>
          <w:szCs w:val="22"/>
        </w:rPr>
        <w:t xml:space="preserve"> </w:t>
      </w:r>
      <w:r>
        <w:rPr>
          <w:rFonts w:hint="eastAsia" w:ascii="宋体" w:hAnsi="宋体" w:cs="新宋体"/>
          <w:sz w:val="22"/>
          <w:szCs w:val="22"/>
        </w:rPr>
        <w:t xml:space="preserve"> 投标人情况（格式自拟）</w:t>
      </w:r>
    </w:p>
    <w:p w14:paraId="78285E2B">
      <w:pPr>
        <w:numPr>
          <w:ilvl w:val="255"/>
          <w:numId w:val="0"/>
        </w:numPr>
        <w:spacing w:line="460" w:lineRule="exact"/>
        <w:rPr>
          <w:rFonts w:ascii="宋体" w:hAnsi="宋体" w:cs="新宋体"/>
          <w:sz w:val="22"/>
          <w:szCs w:val="22"/>
        </w:rPr>
      </w:pPr>
      <w:r>
        <w:rPr>
          <w:rFonts w:hint="eastAsia" w:ascii="宋体" w:hAnsi="宋体" w:cs="新宋体"/>
          <w:sz w:val="22"/>
          <w:szCs w:val="22"/>
        </w:rPr>
        <w:t xml:space="preserve">7 </w:t>
      </w:r>
      <w:r>
        <w:rPr>
          <w:rFonts w:ascii="宋体" w:hAnsi="宋体" w:cs="新宋体"/>
          <w:sz w:val="22"/>
          <w:szCs w:val="22"/>
        </w:rPr>
        <w:t xml:space="preserve"> </w:t>
      </w:r>
      <w:r>
        <w:rPr>
          <w:rFonts w:hint="eastAsia" w:ascii="宋体" w:hAnsi="宋体" w:cs="新宋体"/>
          <w:sz w:val="22"/>
          <w:szCs w:val="22"/>
        </w:rPr>
        <w:t xml:space="preserve"> 发动机选型与技术方案（格式自拟）</w:t>
      </w:r>
    </w:p>
    <w:p w14:paraId="150CFE6A">
      <w:pPr>
        <w:numPr>
          <w:ilvl w:val="255"/>
          <w:numId w:val="0"/>
        </w:numPr>
        <w:spacing w:line="460" w:lineRule="exact"/>
        <w:rPr>
          <w:rFonts w:hint="eastAsia" w:ascii="宋体" w:hAnsi="宋体" w:cs="新宋体"/>
          <w:sz w:val="22"/>
          <w:szCs w:val="22"/>
        </w:rPr>
      </w:pPr>
      <w:r>
        <w:rPr>
          <w:rFonts w:hint="eastAsia" w:ascii="宋体" w:hAnsi="宋体" w:cs="新宋体"/>
          <w:sz w:val="22"/>
          <w:szCs w:val="22"/>
        </w:rPr>
        <w:t xml:space="preserve">8 </w:t>
      </w:r>
      <w:r>
        <w:rPr>
          <w:rFonts w:ascii="宋体" w:hAnsi="宋体" w:cs="新宋体"/>
          <w:sz w:val="22"/>
          <w:szCs w:val="22"/>
        </w:rPr>
        <w:t xml:space="preserve"> </w:t>
      </w:r>
      <w:r>
        <w:rPr>
          <w:rFonts w:hint="eastAsia" w:ascii="宋体" w:hAnsi="宋体" w:cs="新宋体"/>
          <w:sz w:val="22"/>
          <w:szCs w:val="22"/>
        </w:rPr>
        <w:t xml:space="preserve"> 售后服务（格式自拟）</w:t>
      </w:r>
    </w:p>
    <w:p w14:paraId="0E2B8624">
      <w:pPr>
        <w:numPr>
          <w:ilvl w:val="255"/>
          <w:numId w:val="0"/>
        </w:numPr>
        <w:spacing w:line="460" w:lineRule="exact"/>
        <w:rPr>
          <w:rFonts w:hint="eastAsia" w:ascii="宋体" w:hAnsi="宋体" w:cs="新宋体"/>
          <w:sz w:val="22"/>
          <w:szCs w:val="22"/>
        </w:rPr>
      </w:pPr>
      <w:r>
        <w:rPr>
          <w:rFonts w:hint="eastAsia" w:ascii="宋体" w:hAnsi="宋体" w:cs="新宋体"/>
          <w:sz w:val="22"/>
          <w:szCs w:val="22"/>
          <w:lang w:val="en-US" w:eastAsia="zh-CN"/>
        </w:rPr>
        <w:t>9   维修清单品牌表</w:t>
      </w:r>
    </w:p>
    <w:p w14:paraId="02FE8782">
      <w:pPr>
        <w:numPr>
          <w:ilvl w:val="255"/>
          <w:numId w:val="0"/>
        </w:numPr>
        <w:spacing w:line="460" w:lineRule="exact"/>
        <w:rPr>
          <w:rFonts w:hint="eastAsia" w:ascii="宋体" w:hAnsi="宋体" w:cs="新宋体"/>
          <w:sz w:val="22"/>
          <w:szCs w:val="22"/>
        </w:rPr>
      </w:pPr>
      <w:r>
        <w:rPr>
          <w:rFonts w:hint="eastAsia" w:ascii="宋体" w:hAnsi="宋体" w:cs="新宋体"/>
          <w:sz w:val="22"/>
          <w:szCs w:val="22"/>
          <w:lang w:val="en-US" w:eastAsia="zh-CN"/>
        </w:rPr>
        <w:t>10</w:t>
      </w:r>
      <w:r>
        <w:rPr>
          <w:rFonts w:ascii="宋体" w:hAnsi="宋体" w:cs="新宋体"/>
          <w:sz w:val="22"/>
          <w:szCs w:val="22"/>
        </w:rPr>
        <w:t xml:space="preserve">  </w:t>
      </w:r>
      <w:r>
        <w:rPr>
          <w:rFonts w:hint="eastAsia" w:ascii="宋体" w:hAnsi="宋体" w:cs="新宋体"/>
          <w:sz w:val="22"/>
          <w:szCs w:val="22"/>
        </w:rPr>
        <w:t>其他投标人认为需要提供的证明材料及内容</w:t>
      </w:r>
    </w:p>
    <w:p w14:paraId="5294EFE2">
      <w:pPr>
        <w:spacing w:line="460" w:lineRule="exact"/>
        <w:rPr>
          <w:rFonts w:ascii="宋体" w:hAnsi="宋体" w:cs="新宋体"/>
          <w:sz w:val="22"/>
          <w:szCs w:val="22"/>
        </w:rPr>
      </w:pPr>
    </w:p>
    <w:p w14:paraId="4E6A8587">
      <w:pPr>
        <w:pStyle w:val="9"/>
        <w:ind w:firstLine="0" w:firstLineChars="0"/>
        <w:jc w:val="left"/>
        <w:rPr>
          <w:b/>
          <w:bCs/>
        </w:rPr>
      </w:pPr>
      <w:r>
        <w:rPr>
          <w:rFonts w:hint="eastAsia"/>
          <w:b/>
          <w:bCs/>
        </w:rPr>
        <w:t>（★不得出现本项目的“价格标”内容及投标报价，否则作无效标处理）</w:t>
      </w:r>
    </w:p>
    <w:p w14:paraId="047A509F">
      <w:pPr>
        <w:pStyle w:val="10"/>
        <w:ind w:left="0" w:leftChars="0"/>
        <w:jc w:val="left"/>
      </w:pPr>
    </w:p>
    <w:p w14:paraId="475244B3">
      <w:pPr>
        <w:jc w:val="left"/>
      </w:pPr>
    </w:p>
    <w:p w14:paraId="174F5101">
      <w:pPr>
        <w:pStyle w:val="10"/>
        <w:ind w:left="0" w:leftChars="0"/>
        <w:jc w:val="left"/>
      </w:pPr>
    </w:p>
    <w:p w14:paraId="0F9CC47E">
      <w:pPr>
        <w:jc w:val="left"/>
      </w:pPr>
    </w:p>
    <w:p w14:paraId="1F5CBC31">
      <w:pPr>
        <w:pStyle w:val="10"/>
        <w:ind w:left="0" w:leftChars="0"/>
        <w:jc w:val="left"/>
      </w:pPr>
    </w:p>
    <w:p w14:paraId="2047DE0B">
      <w:pPr>
        <w:jc w:val="left"/>
      </w:pPr>
    </w:p>
    <w:p w14:paraId="6168A823">
      <w:pPr>
        <w:pStyle w:val="8"/>
      </w:pPr>
    </w:p>
    <w:p w14:paraId="3C41E91C">
      <w:pPr>
        <w:spacing w:line="400" w:lineRule="exact"/>
        <w:jc w:val="left"/>
        <w:rPr>
          <w:rFonts w:ascii="宋体" w:hAnsi="宋体" w:cs="Courier New"/>
          <w:sz w:val="30"/>
          <w:szCs w:val="30"/>
        </w:rPr>
      </w:pPr>
    </w:p>
    <w:p w14:paraId="00EE581F">
      <w:pPr>
        <w:rPr>
          <w:rFonts w:ascii="宋体" w:hAnsi="宋体" w:cs="Courier New"/>
          <w:sz w:val="30"/>
          <w:szCs w:val="30"/>
        </w:rPr>
      </w:pPr>
      <w:r>
        <w:rPr>
          <w:rFonts w:hint="eastAsia" w:ascii="宋体" w:hAnsi="宋体" w:cs="Courier New"/>
          <w:sz w:val="30"/>
          <w:szCs w:val="30"/>
        </w:rPr>
        <w:br w:type="page"/>
      </w:r>
    </w:p>
    <w:p w14:paraId="69CBA160">
      <w:pPr>
        <w:spacing w:line="400" w:lineRule="exact"/>
        <w:jc w:val="left"/>
        <w:rPr>
          <w:rFonts w:ascii="宋体" w:hAnsi="宋体" w:cs="Courier New"/>
          <w:sz w:val="30"/>
          <w:szCs w:val="30"/>
        </w:rPr>
      </w:pPr>
      <w:r>
        <w:rPr>
          <w:rFonts w:hint="eastAsia" w:ascii="宋体" w:hAnsi="宋体" w:cs="Courier New"/>
          <w:sz w:val="30"/>
          <w:szCs w:val="30"/>
        </w:rPr>
        <w:t>附件二</w:t>
      </w:r>
    </w:p>
    <w:p w14:paraId="047EBAB7">
      <w:pPr>
        <w:spacing w:line="400" w:lineRule="exact"/>
        <w:jc w:val="center"/>
        <w:outlineLvl w:val="2"/>
        <w:rPr>
          <w:rFonts w:ascii="宋体" w:hAnsi="宋体" w:cs="Courier New"/>
          <w:b/>
          <w:bCs/>
          <w:sz w:val="30"/>
          <w:szCs w:val="30"/>
        </w:rPr>
      </w:pPr>
      <w:r>
        <w:rPr>
          <w:rFonts w:hint="eastAsia" w:ascii="宋体" w:hAnsi="宋体" w:cs="Courier New"/>
          <w:b/>
          <w:bCs/>
          <w:sz w:val="30"/>
          <w:szCs w:val="30"/>
        </w:rPr>
        <w:t>投 标 函</w:t>
      </w:r>
    </w:p>
    <w:p w14:paraId="23D71332">
      <w:pPr>
        <w:spacing w:line="400" w:lineRule="exact"/>
        <w:jc w:val="center"/>
        <w:rPr>
          <w:rFonts w:ascii="宋体" w:hAnsi="宋体" w:cs="Courier New"/>
          <w:b/>
          <w:bCs/>
          <w:sz w:val="30"/>
          <w:szCs w:val="30"/>
        </w:rPr>
      </w:pPr>
    </w:p>
    <w:p w14:paraId="426A355F">
      <w:pPr>
        <w:spacing w:line="440" w:lineRule="exact"/>
        <w:rPr>
          <w:rFonts w:ascii="宋体" w:hAnsi="宋体"/>
          <w:b/>
          <w:sz w:val="22"/>
          <w:szCs w:val="22"/>
        </w:rPr>
      </w:pPr>
      <w:r>
        <w:rPr>
          <w:rFonts w:hint="eastAsia" w:ascii="宋体" w:hAnsi="宋体"/>
          <w:b/>
          <w:sz w:val="22"/>
          <w:szCs w:val="22"/>
        </w:rPr>
        <w:t>致：温州金洋集装箱码头有限公司</w:t>
      </w:r>
    </w:p>
    <w:p w14:paraId="5C902F8D">
      <w:pPr>
        <w:spacing w:line="400" w:lineRule="exact"/>
        <w:ind w:firstLine="550" w:firstLineChars="250"/>
        <w:rPr>
          <w:rFonts w:ascii="宋体" w:hAnsi="宋体"/>
          <w:sz w:val="22"/>
          <w:szCs w:val="22"/>
        </w:rPr>
      </w:pPr>
      <w:r>
        <w:rPr>
          <w:rFonts w:hint="eastAsia" w:ascii="宋体" w:hAnsi="宋体"/>
          <w:sz w:val="22"/>
          <w:szCs w:val="22"/>
        </w:rPr>
        <w:t>根据贵方为</w:t>
      </w:r>
      <w:r>
        <w:rPr>
          <w:rFonts w:hint="eastAsia" w:ascii="宋体" w:hAnsi="宋体"/>
          <w:sz w:val="22"/>
          <w:szCs w:val="22"/>
          <w:u w:val="single"/>
        </w:rPr>
        <w:t>温州金洋集装箱码头有限公司25吨叉车维修</w:t>
      </w:r>
      <w:r>
        <w:rPr>
          <w:rFonts w:hint="eastAsia" w:ascii="宋体" w:hAnsi="宋体"/>
          <w:sz w:val="22"/>
          <w:szCs w:val="22"/>
        </w:rPr>
        <w:t>项目（项目编号:</w:t>
      </w:r>
      <w:r>
        <w:rPr>
          <w:rFonts w:ascii="宋体" w:hAnsi="宋体"/>
          <w:sz w:val="22"/>
          <w:szCs w:val="22"/>
        </w:rPr>
        <w:t xml:space="preserve"> </w:t>
      </w:r>
      <w:r>
        <w:rPr>
          <w:rFonts w:hint="eastAsia" w:ascii="宋体" w:hAnsi="宋体" w:cs="Arial"/>
          <w:bCs/>
          <w:color w:val="000000"/>
          <w:szCs w:val="21"/>
          <w:highlight w:val="yellow"/>
        </w:rPr>
        <w:t>XXX</w:t>
      </w:r>
      <w:r>
        <w:rPr>
          <w:rFonts w:hint="eastAsia" w:ascii="宋体" w:hAnsi="宋体"/>
          <w:sz w:val="22"/>
          <w:szCs w:val="22"/>
        </w:rPr>
        <w:t>）的投标邀请，我方</w:t>
      </w:r>
      <w:r>
        <w:rPr>
          <w:rFonts w:hint="eastAsia" w:ascii="宋体" w:hAnsi="宋体"/>
          <w:sz w:val="22"/>
          <w:szCs w:val="22"/>
          <w:u w:val="single"/>
        </w:rPr>
        <w:t xml:space="preserve">        （投标人名称）</w:t>
      </w:r>
      <w:r>
        <w:rPr>
          <w:rFonts w:hint="eastAsia" w:ascii="宋体" w:hAnsi="宋体"/>
          <w:sz w:val="22"/>
          <w:szCs w:val="22"/>
        </w:rPr>
        <w:t>作为投标人正式授权</w:t>
      </w:r>
      <w:r>
        <w:rPr>
          <w:rFonts w:hint="eastAsia" w:ascii="宋体" w:hAnsi="宋体"/>
          <w:sz w:val="22"/>
          <w:szCs w:val="22"/>
          <w:u w:val="single"/>
        </w:rPr>
        <w:t xml:space="preserve">　           </w:t>
      </w:r>
      <w:r>
        <w:rPr>
          <w:rFonts w:hint="eastAsia" w:ascii="宋体" w:hAnsi="宋体"/>
          <w:sz w:val="22"/>
          <w:szCs w:val="22"/>
        </w:rPr>
        <w:t>（授权代表全名）代表我方处理有关本投标的一切事宜。</w:t>
      </w:r>
    </w:p>
    <w:p w14:paraId="2BDBEE0E">
      <w:pPr>
        <w:tabs>
          <w:tab w:val="left" w:pos="360"/>
        </w:tabs>
        <w:spacing w:line="400" w:lineRule="exact"/>
        <w:ind w:firstLine="550" w:firstLineChars="250"/>
        <w:rPr>
          <w:rFonts w:ascii="新宋体" w:hAnsi="新宋体" w:eastAsia="新宋体"/>
          <w:sz w:val="22"/>
          <w:szCs w:val="22"/>
        </w:rPr>
      </w:pPr>
      <w:r>
        <w:rPr>
          <w:rFonts w:hint="eastAsia" w:ascii="新宋体" w:hAnsi="新宋体" w:eastAsia="新宋体"/>
          <w:sz w:val="22"/>
          <w:szCs w:val="22"/>
        </w:rPr>
        <w:t>我方己完全明白招标文件的所有条款要求，并重申以下几点：</w:t>
      </w:r>
    </w:p>
    <w:p w14:paraId="6FA2CEB4">
      <w:pPr>
        <w:snapToGrid w:val="0"/>
        <w:spacing w:line="400" w:lineRule="exact"/>
        <w:ind w:left="-13" w:leftChars="-6" w:firstLine="462" w:firstLineChars="210"/>
        <w:rPr>
          <w:rFonts w:ascii="宋体" w:hAnsi="宋体"/>
          <w:sz w:val="22"/>
          <w:szCs w:val="22"/>
        </w:rPr>
      </w:pPr>
      <w:r>
        <w:rPr>
          <w:rFonts w:hint="eastAsia" w:ascii="宋体" w:hAnsi="宋体"/>
          <w:sz w:val="22"/>
          <w:szCs w:val="22"/>
        </w:rPr>
        <w:t>（一）本投标文件的有效期自投标截止日起</w:t>
      </w:r>
      <w:r>
        <w:rPr>
          <w:rFonts w:hint="eastAsia" w:ascii="宋体" w:hAnsi="宋体"/>
          <w:b/>
          <w:sz w:val="22"/>
          <w:szCs w:val="22"/>
          <w:u w:val="single"/>
        </w:rPr>
        <w:t xml:space="preserve"> 90  </w:t>
      </w:r>
      <w:r>
        <w:rPr>
          <w:rFonts w:hint="eastAsia" w:ascii="宋体" w:hAnsi="宋体"/>
          <w:sz w:val="22"/>
          <w:szCs w:val="22"/>
        </w:rPr>
        <w:t>天内有效，如中标，有效期将延至合同终止日为止；</w:t>
      </w:r>
    </w:p>
    <w:p w14:paraId="43CC3F4F">
      <w:pPr>
        <w:snapToGrid w:val="0"/>
        <w:spacing w:line="400" w:lineRule="exact"/>
        <w:ind w:left="-13" w:leftChars="-6" w:firstLine="462" w:firstLineChars="210"/>
        <w:rPr>
          <w:rFonts w:ascii="宋体" w:hAnsi="宋体"/>
          <w:sz w:val="22"/>
          <w:szCs w:val="22"/>
        </w:rPr>
      </w:pPr>
      <w:r>
        <w:rPr>
          <w:rFonts w:hint="eastAsia" w:ascii="宋体" w:hAnsi="宋体"/>
          <w:sz w:val="22"/>
          <w:szCs w:val="22"/>
        </w:rPr>
        <w:t>（二）我方已详细研究了招标文件的所有内容包括修改书（如有）和所有已提供的参考资料以及有关附件，我方完全理解并同意放弃在此方面提出含糊意见或误解的一切权力；</w:t>
      </w:r>
    </w:p>
    <w:p w14:paraId="23E574F3">
      <w:pPr>
        <w:snapToGrid w:val="0"/>
        <w:spacing w:line="400" w:lineRule="exact"/>
        <w:ind w:left="-13" w:leftChars="-6" w:firstLine="462" w:firstLineChars="210"/>
        <w:rPr>
          <w:rFonts w:ascii="宋体" w:hAnsi="宋体"/>
          <w:sz w:val="22"/>
        </w:rPr>
      </w:pPr>
      <w:r>
        <w:rPr>
          <w:rFonts w:hint="eastAsia" w:ascii="宋体" w:hAnsi="宋体"/>
          <w:sz w:val="22"/>
        </w:rPr>
        <w:t>（三）我方同意提供按照贵方可能要求的与投标有关的一切数据或资料；</w:t>
      </w:r>
    </w:p>
    <w:p w14:paraId="4B769474">
      <w:pPr>
        <w:snapToGrid w:val="0"/>
        <w:spacing w:line="400" w:lineRule="exact"/>
        <w:ind w:left="-13" w:leftChars="-6" w:firstLine="462" w:firstLineChars="210"/>
        <w:rPr>
          <w:rFonts w:ascii="宋体" w:hAnsi="宋体"/>
          <w:sz w:val="22"/>
        </w:rPr>
      </w:pPr>
      <w:r>
        <w:rPr>
          <w:rFonts w:hint="eastAsia" w:ascii="宋体" w:hAnsi="宋体"/>
          <w:sz w:val="22"/>
        </w:rPr>
        <w:t>（四）我方理解贵方不一定接受最低报价。</w:t>
      </w:r>
    </w:p>
    <w:p w14:paraId="552A591C">
      <w:pPr>
        <w:snapToGrid w:val="0"/>
        <w:spacing w:line="400" w:lineRule="exact"/>
        <w:ind w:left="-13" w:leftChars="-6" w:firstLine="462" w:firstLineChars="210"/>
        <w:rPr>
          <w:rFonts w:ascii="宋体" w:hAnsi="宋体"/>
          <w:sz w:val="22"/>
        </w:rPr>
      </w:pPr>
      <w:r>
        <w:rPr>
          <w:rFonts w:hint="eastAsia" w:ascii="宋体" w:hAnsi="宋体"/>
          <w:sz w:val="22"/>
        </w:rPr>
        <w:t>（五）我方如果中标，将保证履行招标文件以及招标补充文件（如有）中的全部责任和义务，按质、按量、按期完成《合同书》中的全部任务。</w:t>
      </w:r>
    </w:p>
    <w:p w14:paraId="152CFE5E">
      <w:pPr>
        <w:autoSpaceDE w:val="0"/>
        <w:autoSpaceDN w:val="0"/>
        <w:adjustRightInd w:val="0"/>
        <w:snapToGrid w:val="0"/>
        <w:spacing w:line="400" w:lineRule="exact"/>
        <w:ind w:left="-13" w:leftChars="-6" w:firstLine="462" w:firstLineChars="210"/>
        <w:rPr>
          <w:rFonts w:ascii="宋体" w:hAnsi="宋体"/>
          <w:sz w:val="22"/>
        </w:rPr>
      </w:pPr>
      <w:r>
        <w:rPr>
          <w:rFonts w:hint="eastAsia" w:ascii="宋体" w:hAnsi="宋体"/>
          <w:sz w:val="22"/>
        </w:rPr>
        <w:t>（六）</w:t>
      </w:r>
      <w:r>
        <w:rPr>
          <w:rFonts w:hint="eastAsia" w:ascii="宋体" w:hAnsi="宋体" w:cs="仿宋_GB2312"/>
          <w:sz w:val="22"/>
          <w:szCs w:val="22"/>
          <w:lang w:val="zh-CN"/>
        </w:rPr>
        <w:t>利益冲突：近三年内直至目前，我公司与本项目的招标人、招标组织机构没有任何的隶属关系。</w:t>
      </w:r>
    </w:p>
    <w:p w14:paraId="7316382C">
      <w:pPr>
        <w:snapToGrid w:val="0"/>
        <w:spacing w:line="400" w:lineRule="exact"/>
        <w:ind w:left="-13" w:leftChars="-6" w:firstLine="462" w:firstLineChars="210"/>
        <w:rPr>
          <w:rFonts w:ascii="宋体" w:hAnsi="宋体"/>
          <w:sz w:val="22"/>
          <w:szCs w:val="22"/>
        </w:rPr>
      </w:pPr>
      <w:r>
        <w:rPr>
          <w:rFonts w:hint="eastAsia" w:ascii="宋体" w:hAnsi="宋体"/>
          <w:sz w:val="22"/>
        </w:rPr>
        <w:t>（七）所有与本投标有关的函件请发往下列地址：</w:t>
      </w:r>
    </w:p>
    <w:p w14:paraId="512418F4">
      <w:pPr>
        <w:spacing w:line="400" w:lineRule="exact"/>
        <w:ind w:firstLine="435"/>
        <w:rPr>
          <w:rFonts w:ascii="宋体" w:hAnsi="宋体"/>
          <w:sz w:val="22"/>
          <w:szCs w:val="22"/>
        </w:rPr>
      </w:pPr>
      <w:r>
        <w:rPr>
          <w:rFonts w:hint="eastAsia" w:ascii="宋体" w:hAnsi="宋体"/>
          <w:sz w:val="22"/>
          <w:szCs w:val="22"/>
        </w:rPr>
        <w:t xml:space="preserve">   地址</w:t>
      </w:r>
    </w:p>
    <w:p w14:paraId="3E1D60A8">
      <w:pPr>
        <w:spacing w:line="400" w:lineRule="exact"/>
        <w:ind w:firstLine="435"/>
        <w:rPr>
          <w:rFonts w:ascii="宋体" w:hAnsi="宋体"/>
          <w:sz w:val="22"/>
          <w:szCs w:val="22"/>
        </w:rPr>
      </w:pPr>
      <w:r>
        <w:rPr>
          <w:rFonts w:hint="eastAsia" w:ascii="宋体" w:hAnsi="宋体"/>
          <w:sz w:val="22"/>
          <w:szCs w:val="22"/>
        </w:rPr>
        <w:t xml:space="preserve">   电话</w:t>
      </w:r>
    </w:p>
    <w:p w14:paraId="13A060A7">
      <w:pPr>
        <w:spacing w:line="400" w:lineRule="exact"/>
        <w:ind w:firstLine="435"/>
        <w:rPr>
          <w:rFonts w:ascii="宋体" w:hAnsi="宋体"/>
          <w:sz w:val="22"/>
          <w:szCs w:val="22"/>
          <w:u w:val="single"/>
        </w:rPr>
      </w:pPr>
      <w:r>
        <w:rPr>
          <w:rFonts w:hint="eastAsia" w:ascii="宋体" w:hAnsi="宋体"/>
          <w:sz w:val="22"/>
          <w:szCs w:val="22"/>
        </w:rPr>
        <w:t xml:space="preserve">   传真</w:t>
      </w:r>
    </w:p>
    <w:p w14:paraId="51D53088">
      <w:pPr>
        <w:spacing w:line="400" w:lineRule="exact"/>
        <w:ind w:firstLine="770" w:firstLineChars="350"/>
        <w:rPr>
          <w:rFonts w:ascii="宋体" w:hAnsi="宋体"/>
          <w:sz w:val="22"/>
          <w:szCs w:val="22"/>
        </w:rPr>
      </w:pPr>
      <w:r>
        <w:rPr>
          <w:rFonts w:hint="eastAsia" w:ascii="宋体" w:hAnsi="宋体"/>
          <w:sz w:val="22"/>
          <w:szCs w:val="22"/>
        </w:rPr>
        <w:t>电子邮件</w:t>
      </w:r>
    </w:p>
    <w:p w14:paraId="754B670E">
      <w:pPr>
        <w:widowControl/>
        <w:adjustRightInd w:val="0"/>
        <w:snapToGrid w:val="0"/>
        <w:spacing w:line="360" w:lineRule="auto"/>
        <w:ind w:firstLine="440" w:firstLineChars="200"/>
        <w:jc w:val="center"/>
        <w:rPr>
          <w:rFonts w:ascii="新宋体" w:hAnsi="新宋体" w:eastAsia="新宋体" w:cs="新宋体"/>
          <w:kern w:val="0"/>
          <w:sz w:val="22"/>
          <w:szCs w:val="22"/>
        </w:rPr>
      </w:pPr>
    </w:p>
    <w:p w14:paraId="4B11BC44">
      <w:pPr>
        <w:widowControl/>
        <w:adjustRightInd w:val="0"/>
        <w:snapToGrid w:val="0"/>
        <w:spacing w:line="360" w:lineRule="auto"/>
        <w:ind w:firstLine="440" w:firstLineChars="200"/>
        <w:jc w:val="center"/>
        <w:rPr>
          <w:rFonts w:ascii="新宋体" w:hAnsi="新宋体" w:eastAsia="新宋体" w:cs="新宋体"/>
          <w:kern w:val="0"/>
          <w:sz w:val="22"/>
          <w:szCs w:val="22"/>
        </w:rPr>
      </w:pPr>
      <w:r>
        <w:rPr>
          <w:rFonts w:hint="eastAsia" w:ascii="新宋体" w:hAnsi="新宋体" w:eastAsia="新宋体" w:cs="新宋体"/>
          <w:kern w:val="0"/>
          <w:sz w:val="22"/>
          <w:szCs w:val="22"/>
        </w:rPr>
        <w:t xml:space="preserve"> </w:t>
      </w:r>
      <w:r>
        <w:rPr>
          <w:rFonts w:ascii="新宋体" w:hAnsi="新宋体" w:eastAsia="新宋体" w:cs="新宋体"/>
          <w:kern w:val="0"/>
          <w:sz w:val="22"/>
          <w:szCs w:val="22"/>
        </w:rPr>
        <w:t xml:space="preserve">      </w:t>
      </w:r>
      <w:r>
        <w:rPr>
          <w:rFonts w:hint="eastAsia" w:ascii="新宋体" w:hAnsi="新宋体" w:eastAsia="新宋体" w:cs="新宋体"/>
          <w:kern w:val="0"/>
          <w:sz w:val="22"/>
          <w:szCs w:val="22"/>
        </w:rPr>
        <w:t>投标人全称（</w:t>
      </w:r>
      <w:r>
        <w:rPr>
          <w:rFonts w:hint="eastAsia" w:ascii="新宋体" w:hAnsi="新宋体" w:eastAsia="新宋体"/>
          <w:sz w:val="22"/>
          <w:szCs w:val="22"/>
        </w:rPr>
        <w:t>加盖单位公章</w:t>
      </w:r>
      <w:r>
        <w:rPr>
          <w:rFonts w:hint="eastAsia" w:ascii="新宋体" w:hAnsi="新宋体" w:eastAsia="新宋体" w:cs="新宋体"/>
          <w:kern w:val="0"/>
          <w:sz w:val="22"/>
          <w:szCs w:val="22"/>
        </w:rPr>
        <w:t>）：</w:t>
      </w:r>
    </w:p>
    <w:p w14:paraId="7DB9113D">
      <w:pPr>
        <w:widowControl/>
        <w:adjustRightInd w:val="0"/>
        <w:snapToGrid w:val="0"/>
        <w:spacing w:line="360" w:lineRule="auto"/>
        <w:ind w:firstLine="440" w:firstLineChars="200"/>
        <w:jc w:val="center"/>
        <w:rPr>
          <w:rFonts w:ascii="新宋体" w:hAnsi="新宋体" w:eastAsia="新宋体" w:cs="新宋体"/>
          <w:kern w:val="0"/>
          <w:sz w:val="22"/>
          <w:szCs w:val="22"/>
        </w:rPr>
      </w:pPr>
      <w:r>
        <w:rPr>
          <w:rFonts w:hint="eastAsia" w:ascii="新宋体" w:hAnsi="新宋体" w:eastAsia="新宋体" w:cs="新宋体"/>
          <w:kern w:val="0"/>
          <w:sz w:val="22"/>
          <w:szCs w:val="22"/>
        </w:rPr>
        <w:t xml:space="preserve">               法定代表人或授权代表（签字或盖章）：</w:t>
      </w:r>
    </w:p>
    <w:p w14:paraId="727E234A">
      <w:pPr>
        <w:spacing w:line="440" w:lineRule="exact"/>
        <w:ind w:firstLine="435"/>
        <w:jc w:val="center"/>
        <w:rPr>
          <w:rFonts w:ascii="宋体" w:hAnsi="宋体"/>
          <w:sz w:val="22"/>
          <w:szCs w:val="22"/>
        </w:rPr>
      </w:pPr>
      <w:r>
        <w:rPr>
          <w:rFonts w:hint="eastAsia" w:ascii="新宋体" w:hAnsi="新宋体" w:eastAsia="新宋体" w:cs="新宋体"/>
          <w:kern w:val="0"/>
          <w:sz w:val="22"/>
          <w:szCs w:val="22"/>
        </w:rPr>
        <w:t xml:space="preserve">        日          期：  年  月  日</w:t>
      </w:r>
    </w:p>
    <w:p w14:paraId="6AABD0C1">
      <w:pPr>
        <w:widowControl/>
        <w:jc w:val="left"/>
        <w:rPr>
          <w:rFonts w:ascii="宋体" w:hAnsi="宋体"/>
          <w:b/>
          <w:color w:val="000000"/>
          <w:sz w:val="28"/>
          <w:szCs w:val="28"/>
        </w:rPr>
      </w:pPr>
      <w:bookmarkStart w:id="82" w:name="_Toc50128412"/>
      <w:r>
        <w:rPr>
          <w:rFonts w:ascii="宋体" w:hAnsi="宋体"/>
          <w:b/>
          <w:color w:val="000000"/>
          <w:sz w:val="28"/>
          <w:szCs w:val="28"/>
        </w:rPr>
        <w:br w:type="page"/>
      </w:r>
    </w:p>
    <w:p w14:paraId="000D51B7">
      <w:pPr>
        <w:snapToGrid w:val="0"/>
        <w:spacing w:before="156" w:beforeLines="50" w:after="50" w:line="360" w:lineRule="auto"/>
        <w:rPr>
          <w:rFonts w:ascii="宋体" w:hAnsi="宋体"/>
          <w:bCs/>
          <w:color w:val="000000"/>
          <w:sz w:val="28"/>
          <w:szCs w:val="28"/>
        </w:rPr>
      </w:pPr>
      <w:r>
        <w:rPr>
          <w:rFonts w:hint="eastAsia" w:ascii="宋体" w:hAnsi="宋体"/>
          <w:bCs/>
          <w:color w:val="000000"/>
          <w:sz w:val="28"/>
          <w:szCs w:val="28"/>
        </w:rPr>
        <w:t>附件</w:t>
      </w:r>
      <w:bookmarkEnd w:id="82"/>
      <w:r>
        <w:rPr>
          <w:rFonts w:hint="eastAsia" w:ascii="宋体" w:hAnsi="宋体"/>
          <w:bCs/>
          <w:color w:val="000000"/>
          <w:sz w:val="28"/>
          <w:szCs w:val="28"/>
        </w:rPr>
        <w:t>三</w:t>
      </w:r>
    </w:p>
    <w:p w14:paraId="0E39AE11">
      <w:pPr>
        <w:spacing w:line="460" w:lineRule="exact"/>
        <w:jc w:val="center"/>
        <w:outlineLvl w:val="2"/>
        <w:rPr>
          <w:rFonts w:ascii="宋体" w:hAnsi="宋体" w:cs="宋体"/>
          <w:b/>
          <w:bCs/>
          <w:sz w:val="22"/>
          <w:szCs w:val="22"/>
        </w:rPr>
      </w:pPr>
      <w:r>
        <w:rPr>
          <w:rFonts w:hint="eastAsia" w:ascii="宋体" w:hAnsi="宋体" w:cs="宋体"/>
          <w:b/>
          <w:bCs/>
          <w:sz w:val="22"/>
          <w:szCs w:val="22"/>
        </w:rPr>
        <w:t>技术规格、商务条款偏离表</w:t>
      </w:r>
    </w:p>
    <w:p w14:paraId="2F726A80">
      <w:pPr>
        <w:spacing w:line="380" w:lineRule="exact"/>
        <w:rPr>
          <w:rFonts w:ascii="宋体" w:hAnsi="宋体" w:cs="宋体"/>
          <w:bCs/>
          <w:sz w:val="22"/>
          <w:szCs w:val="22"/>
        </w:rPr>
      </w:pPr>
    </w:p>
    <w:tbl>
      <w:tblPr>
        <w:tblStyle w:val="28"/>
        <w:tblW w:w="0" w:type="auto"/>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939"/>
        <w:gridCol w:w="1358"/>
        <w:gridCol w:w="2088"/>
        <w:gridCol w:w="1984"/>
        <w:gridCol w:w="1859"/>
        <w:gridCol w:w="1586"/>
      </w:tblGrid>
      <w:tr w14:paraId="591C677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62" w:hRule="atLeast"/>
          <w:jc w:val="center"/>
        </w:trPr>
        <w:tc>
          <w:tcPr>
            <w:tcW w:w="939" w:type="dxa"/>
          </w:tcPr>
          <w:p w14:paraId="11776DF6">
            <w:pPr>
              <w:spacing w:line="380" w:lineRule="exact"/>
              <w:jc w:val="center"/>
              <w:rPr>
                <w:rFonts w:ascii="宋体" w:hAnsi="宋体" w:cs="宋体"/>
                <w:sz w:val="22"/>
                <w:szCs w:val="22"/>
              </w:rPr>
            </w:pPr>
          </w:p>
        </w:tc>
        <w:tc>
          <w:tcPr>
            <w:tcW w:w="1358" w:type="dxa"/>
            <w:vAlign w:val="center"/>
          </w:tcPr>
          <w:p w14:paraId="0DEA8ECE">
            <w:pPr>
              <w:spacing w:line="380" w:lineRule="exact"/>
              <w:jc w:val="center"/>
              <w:rPr>
                <w:rFonts w:ascii="宋体" w:hAnsi="宋体" w:cs="宋体"/>
                <w:sz w:val="22"/>
                <w:szCs w:val="22"/>
              </w:rPr>
            </w:pPr>
            <w:r>
              <w:rPr>
                <w:rFonts w:hint="eastAsia" w:ascii="宋体" w:hAnsi="宋体" w:cs="宋体"/>
                <w:sz w:val="22"/>
                <w:szCs w:val="22"/>
              </w:rPr>
              <w:t>序号</w:t>
            </w:r>
          </w:p>
        </w:tc>
        <w:tc>
          <w:tcPr>
            <w:tcW w:w="2088" w:type="dxa"/>
            <w:vAlign w:val="center"/>
          </w:tcPr>
          <w:p w14:paraId="19E665DC">
            <w:pPr>
              <w:spacing w:line="380" w:lineRule="exact"/>
              <w:jc w:val="center"/>
              <w:rPr>
                <w:rFonts w:ascii="宋体" w:hAnsi="宋体" w:cs="宋体"/>
                <w:sz w:val="22"/>
                <w:szCs w:val="22"/>
              </w:rPr>
            </w:pPr>
            <w:r>
              <w:rPr>
                <w:rFonts w:hint="eastAsia" w:ascii="宋体" w:hAnsi="宋体" w:cs="宋体"/>
                <w:sz w:val="22"/>
                <w:szCs w:val="22"/>
              </w:rPr>
              <w:t>招标文件</w:t>
            </w:r>
          </w:p>
          <w:p w14:paraId="5C56913B">
            <w:pPr>
              <w:spacing w:line="380" w:lineRule="exact"/>
              <w:jc w:val="center"/>
              <w:rPr>
                <w:rFonts w:ascii="宋体" w:hAnsi="宋体" w:cs="宋体"/>
                <w:sz w:val="22"/>
                <w:szCs w:val="22"/>
              </w:rPr>
            </w:pPr>
            <w:r>
              <w:rPr>
                <w:rFonts w:hint="eastAsia" w:ascii="宋体" w:hAnsi="宋体" w:cs="宋体"/>
                <w:sz w:val="22"/>
                <w:szCs w:val="22"/>
              </w:rPr>
              <w:t>条目号</w:t>
            </w:r>
          </w:p>
        </w:tc>
        <w:tc>
          <w:tcPr>
            <w:tcW w:w="1984" w:type="dxa"/>
            <w:vAlign w:val="center"/>
          </w:tcPr>
          <w:p w14:paraId="52F5874E">
            <w:pPr>
              <w:spacing w:line="380" w:lineRule="exact"/>
              <w:jc w:val="center"/>
              <w:rPr>
                <w:rFonts w:ascii="宋体" w:hAnsi="宋体" w:cs="宋体"/>
                <w:sz w:val="22"/>
                <w:szCs w:val="22"/>
              </w:rPr>
            </w:pPr>
            <w:r>
              <w:rPr>
                <w:rFonts w:hint="eastAsia" w:ascii="宋体" w:hAnsi="宋体" w:cs="宋体"/>
                <w:sz w:val="22"/>
                <w:szCs w:val="22"/>
              </w:rPr>
              <w:t>招标文件</w:t>
            </w:r>
          </w:p>
          <w:p w14:paraId="0CCDF7D6">
            <w:pPr>
              <w:spacing w:line="380" w:lineRule="exact"/>
              <w:jc w:val="center"/>
              <w:rPr>
                <w:rFonts w:ascii="宋体" w:hAnsi="宋体" w:cs="宋体"/>
                <w:sz w:val="22"/>
                <w:szCs w:val="22"/>
              </w:rPr>
            </w:pPr>
            <w:r>
              <w:rPr>
                <w:rFonts w:hint="eastAsia" w:ascii="宋体" w:hAnsi="宋体" w:cs="宋体"/>
                <w:sz w:val="22"/>
                <w:szCs w:val="22"/>
              </w:rPr>
              <w:t>规范要求</w:t>
            </w:r>
          </w:p>
        </w:tc>
        <w:tc>
          <w:tcPr>
            <w:tcW w:w="1859" w:type="dxa"/>
            <w:vAlign w:val="center"/>
          </w:tcPr>
          <w:p w14:paraId="58077C03">
            <w:pPr>
              <w:spacing w:line="380" w:lineRule="exact"/>
              <w:jc w:val="center"/>
              <w:rPr>
                <w:rFonts w:ascii="宋体" w:hAnsi="宋体" w:cs="宋体"/>
                <w:sz w:val="22"/>
                <w:szCs w:val="22"/>
              </w:rPr>
            </w:pPr>
            <w:r>
              <w:rPr>
                <w:rFonts w:hint="eastAsia" w:ascii="宋体" w:hAnsi="宋体" w:cs="宋体"/>
                <w:sz w:val="22"/>
                <w:szCs w:val="22"/>
              </w:rPr>
              <w:t>投标文件</w:t>
            </w:r>
          </w:p>
          <w:p w14:paraId="74964895">
            <w:pPr>
              <w:spacing w:line="380" w:lineRule="exact"/>
              <w:jc w:val="center"/>
              <w:rPr>
                <w:rFonts w:ascii="宋体" w:hAnsi="宋体" w:cs="宋体"/>
                <w:sz w:val="22"/>
                <w:szCs w:val="22"/>
              </w:rPr>
            </w:pPr>
            <w:r>
              <w:rPr>
                <w:rFonts w:hint="eastAsia" w:ascii="宋体" w:hAnsi="宋体" w:cs="宋体"/>
                <w:sz w:val="22"/>
                <w:szCs w:val="22"/>
              </w:rPr>
              <w:t>对应规范</w:t>
            </w:r>
          </w:p>
        </w:tc>
        <w:tc>
          <w:tcPr>
            <w:tcW w:w="1586" w:type="dxa"/>
            <w:vAlign w:val="center"/>
          </w:tcPr>
          <w:p w14:paraId="5C8FF94A">
            <w:pPr>
              <w:spacing w:line="380" w:lineRule="exact"/>
              <w:jc w:val="center"/>
              <w:rPr>
                <w:rFonts w:ascii="宋体" w:hAnsi="宋体" w:cs="宋体"/>
                <w:sz w:val="22"/>
                <w:szCs w:val="22"/>
              </w:rPr>
            </w:pPr>
            <w:r>
              <w:rPr>
                <w:rFonts w:hint="eastAsia" w:ascii="宋体" w:hAnsi="宋体" w:cs="宋体"/>
                <w:sz w:val="22"/>
                <w:szCs w:val="22"/>
              </w:rPr>
              <w:t>说明</w:t>
            </w:r>
          </w:p>
        </w:tc>
      </w:tr>
      <w:tr w14:paraId="239D7E2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46" w:hRule="atLeast"/>
          <w:jc w:val="center"/>
        </w:trPr>
        <w:tc>
          <w:tcPr>
            <w:tcW w:w="939" w:type="dxa"/>
            <w:vMerge w:val="restart"/>
            <w:vAlign w:val="center"/>
          </w:tcPr>
          <w:p w14:paraId="7CB7EE89">
            <w:pPr>
              <w:spacing w:line="380" w:lineRule="exact"/>
              <w:jc w:val="center"/>
              <w:rPr>
                <w:rFonts w:ascii="宋体" w:hAnsi="宋体" w:cs="宋体"/>
                <w:sz w:val="22"/>
                <w:szCs w:val="22"/>
              </w:rPr>
            </w:pPr>
            <w:r>
              <w:rPr>
                <w:rFonts w:hint="eastAsia" w:ascii="宋体" w:hAnsi="宋体" w:cs="宋体"/>
                <w:sz w:val="22"/>
                <w:szCs w:val="22"/>
              </w:rPr>
              <w:t>技</w:t>
            </w:r>
          </w:p>
          <w:p w14:paraId="660A8D4C">
            <w:pPr>
              <w:spacing w:line="380" w:lineRule="exact"/>
              <w:jc w:val="center"/>
              <w:rPr>
                <w:rFonts w:ascii="宋体" w:hAnsi="宋体" w:cs="宋体"/>
                <w:sz w:val="22"/>
                <w:szCs w:val="22"/>
              </w:rPr>
            </w:pPr>
            <w:r>
              <w:rPr>
                <w:rFonts w:hint="eastAsia" w:ascii="宋体" w:hAnsi="宋体" w:cs="宋体"/>
                <w:sz w:val="22"/>
                <w:szCs w:val="22"/>
              </w:rPr>
              <w:t>术</w:t>
            </w:r>
          </w:p>
          <w:p w14:paraId="49D265EA">
            <w:pPr>
              <w:spacing w:line="380" w:lineRule="exact"/>
              <w:jc w:val="center"/>
              <w:rPr>
                <w:rFonts w:ascii="宋体" w:hAnsi="宋体" w:cs="宋体"/>
                <w:sz w:val="22"/>
                <w:szCs w:val="22"/>
              </w:rPr>
            </w:pPr>
            <w:r>
              <w:rPr>
                <w:rFonts w:hint="eastAsia" w:ascii="宋体" w:hAnsi="宋体" w:cs="宋体"/>
                <w:sz w:val="22"/>
                <w:szCs w:val="22"/>
              </w:rPr>
              <w:t>规</w:t>
            </w:r>
          </w:p>
          <w:p w14:paraId="292879A1">
            <w:pPr>
              <w:spacing w:line="380" w:lineRule="exact"/>
              <w:jc w:val="center"/>
              <w:rPr>
                <w:rFonts w:ascii="宋体" w:hAnsi="宋体" w:cs="宋体"/>
                <w:sz w:val="22"/>
                <w:szCs w:val="22"/>
              </w:rPr>
            </w:pPr>
            <w:r>
              <w:rPr>
                <w:rFonts w:hint="eastAsia" w:ascii="宋体" w:hAnsi="宋体" w:cs="宋体"/>
                <w:sz w:val="22"/>
                <w:szCs w:val="22"/>
              </w:rPr>
              <w:t>格</w:t>
            </w:r>
          </w:p>
        </w:tc>
        <w:tc>
          <w:tcPr>
            <w:tcW w:w="1358" w:type="dxa"/>
            <w:vAlign w:val="center"/>
          </w:tcPr>
          <w:p w14:paraId="55A400A7">
            <w:pPr>
              <w:spacing w:line="380" w:lineRule="exact"/>
              <w:jc w:val="center"/>
              <w:rPr>
                <w:rFonts w:ascii="宋体" w:hAnsi="宋体" w:cs="宋体"/>
                <w:sz w:val="22"/>
                <w:szCs w:val="22"/>
              </w:rPr>
            </w:pPr>
          </w:p>
        </w:tc>
        <w:tc>
          <w:tcPr>
            <w:tcW w:w="2088" w:type="dxa"/>
            <w:vAlign w:val="center"/>
          </w:tcPr>
          <w:p w14:paraId="2B75E665">
            <w:pPr>
              <w:spacing w:line="380" w:lineRule="exact"/>
              <w:jc w:val="center"/>
              <w:rPr>
                <w:rFonts w:ascii="宋体" w:hAnsi="宋体" w:cs="宋体"/>
                <w:sz w:val="22"/>
                <w:szCs w:val="22"/>
              </w:rPr>
            </w:pPr>
          </w:p>
        </w:tc>
        <w:tc>
          <w:tcPr>
            <w:tcW w:w="1984" w:type="dxa"/>
            <w:vAlign w:val="center"/>
          </w:tcPr>
          <w:p w14:paraId="74F4246B">
            <w:pPr>
              <w:spacing w:line="380" w:lineRule="exact"/>
              <w:jc w:val="center"/>
              <w:rPr>
                <w:rFonts w:ascii="宋体" w:hAnsi="宋体" w:cs="宋体"/>
                <w:sz w:val="22"/>
                <w:szCs w:val="22"/>
              </w:rPr>
            </w:pPr>
          </w:p>
        </w:tc>
        <w:tc>
          <w:tcPr>
            <w:tcW w:w="1859" w:type="dxa"/>
            <w:vAlign w:val="center"/>
          </w:tcPr>
          <w:p w14:paraId="4ED36E89">
            <w:pPr>
              <w:spacing w:line="380" w:lineRule="exact"/>
              <w:jc w:val="center"/>
              <w:rPr>
                <w:rFonts w:ascii="宋体" w:hAnsi="宋体" w:cs="宋体"/>
                <w:sz w:val="22"/>
                <w:szCs w:val="22"/>
              </w:rPr>
            </w:pPr>
          </w:p>
        </w:tc>
        <w:tc>
          <w:tcPr>
            <w:tcW w:w="1586" w:type="dxa"/>
            <w:vAlign w:val="center"/>
          </w:tcPr>
          <w:p w14:paraId="0E209D58">
            <w:pPr>
              <w:spacing w:line="380" w:lineRule="exact"/>
              <w:jc w:val="center"/>
              <w:rPr>
                <w:rFonts w:ascii="宋体" w:hAnsi="宋体" w:cs="宋体"/>
                <w:sz w:val="22"/>
                <w:szCs w:val="22"/>
              </w:rPr>
            </w:pPr>
          </w:p>
        </w:tc>
      </w:tr>
      <w:tr w14:paraId="2EB0E62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77" w:hRule="atLeast"/>
          <w:jc w:val="center"/>
        </w:trPr>
        <w:tc>
          <w:tcPr>
            <w:tcW w:w="939" w:type="dxa"/>
            <w:vMerge w:val="continue"/>
          </w:tcPr>
          <w:p w14:paraId="55A6A2CF">
            <w:pPr>
              <w:spacing w:line="380" w:lineRule="exact"/>
              <w:ind w:firstLine="220" w:firstLineChars="100"/>
              <w:jc w:val="center"/>
              <w:rPr>
                <w:rFonts w:ascii="宋体" w:hAnsi="宋体" w:cs="宋体"/>
                <w:sz w:val="22"/>
                <w:szCs w:val="22"/>
              </w:rPr>
            </w:pPr>
          </w:p>
        </w:tc>
        <w:tc>
          <w:tcPr>
            <w:tcW w:w="1358" w:type="dxa"/>
            <w:vAlign w:val="center"/>
          </w:tcPr>
          <w:p w14:paraId="300FB652">
            <w:pPr>
              <w:spacing w:line="380" w:lineRule="exact"/>
              <w:jc w:val="center"/>
              <w:rPr>
                <w:rFonts w:ascii="宋体" w:hAnsi="宋体" w:cs="宋体"/>
                <w:sz w:val="22"/>
                <w:szCs w:val="22"/>
              </w:rPr>
            </w:pPr>
          </w:p>
        </w:tc>
        <w:tc>
          <w:tcPr>
            <w:tcW w:w="2088" w:type="dxa"/>
            <w:vAlign w:val="center"/>
          </w:tcPr>
          <w:p w14:paraId="6AB63D8E">
            <w:pPr>
              <w:spacing w:line="380" w:lineRule="exact"/>
              <w:jc w:val="center"/>
              <w:rPr>
                <w:rFonts w:ascii="宋体" w:hAnsi="宋体" w:cs="宋体"/>
                <w:sz w:val="22"/>
                <w:szCs w:val="22"/>
              </w:rPr>
            </w:pPr>
          </w:p>
        </w:tc>
        <w:tc>
          <w:tcPr>
            <w:tcW w:w="1984" w:type="dxa"/>
            <w:vAlign w:val="center"/>
          </w:tcPr>
          <w:p w14:paraId="348F5EF0">
            <w:pPr>
              <w:spacing w:line="380" w:lineRule="exact"/>
              <w:jc w:val="center"/>
              <w:rPr>
                <w:rFonts w:ascii="宋体" w:hAnsi="宋体" w:cs="宋体"/>
                <w:sz w:val="22"/>
                <w:szCs w:val="22"/>
              </w:rPr>
            </w:pPr>
          </w:p>
        </w:tc>
        <w:tc>
          <w:tcPr>
            <w:tcW w:w="1859" w:type="dxa"/>
            <w:vAlign w:val="center"/>
          </w:tcPr>
          <w:p w14:paraId="03B45B28">
            <w:pPr>
              <w:spacing w:line="380" w:lineRule="exact"/>
              <w:jc w:val="center"/>
              <w:rPr>
                <w:rFonts w:ascii="宋体" w:hAnsi="宋体" w:cs="宋体"/>
                <w:sz w:val="22"/>
                <w:szCs w:val="22"/>
              </w:rPr>
            </w:pPr>
          </w:p>
        </w:tc>
        <w:tc>
          <w:tcPr>
            <w:tcW w:w="1586" w:type="dxa"/>
            <w:vAlign w:val="center"/>
          </w:tcPr>
          <w:p w14:paraId="432D8331">
            <w:pPr>
              <w:spacing w:line="380" w:lineRule="exact"/>
              <w:jc w:val="center"/>
              <w:rPr>
                <w:rFonts w:ascii="宋体" w:hAnsi="宋体" w:cs="宋体"/>
                <w:sz w:val="22"/>
                <w:szCs w:val="22"/>
              </w:rPr>
            </w:pPr>
          </w:p>
        </w:tc>
      </w:tr>
      <w:tr w14:paraId="023742A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77" w:hRule="atLeast"/>
          <w:jc w:val="center"/>
        </w:trPr>
        <w:tc>
          <w:tcPr>
            <w:tcW w:w="939" w:type="dxa"/>
            <w:vMerge w:val="continue"/>
          </w:tcPr>
          <w:p w14:paraId="738D85D9">
            <w:pPr>
              <w:spacing w:line="380" w:lineRule="exact"/>
              <w:jc w:val="center"/>
              <w:rPr>
                <w:rFonts w:ascii="宋体" w:hAnsi="宋体" w:cs="宋体"/>
                <w:sz w:val="22"/>
                <w:szCs w:val="22"/>
              </w:rPr>
            </w:pPr>
          </w:p>
        </w:tc>
        <w:tc>
          <w:tcPr>
            <w:tcW w:w="1358" w:type="dxa"/>
            <w:vAlign w:val="center"/>
          </w:tcPr>
          <w:p w14:paraId="0C6AC1E1">
            <w:pPr>
              <w:spacing w:line="380" w:lineRule="exact"/>
              <w:jc w:val="center"/>
              <w:rPr>
                <w:rFonts w:ascii="宋体" w:hAnsi="宋体" w:cs="宋体"/>
                <w:sz w:val="22"/>
                <w:szCs w:val="22"/>
              </w:rPr>
            </w:pPr>
          </w:p>
        </w:tc>
        <w:tc>
          <w:tcPr>
            <w:tcW w:w="2088" w:type="dxa"/>
            <w:vAlign w:val="center"/>
          </w:tcPr>
          <w:p w14:paraId="2FB092ED">
            <w:pPr>
              <w:spacing w:line="380" w:lineRule="exact"/>
              <w:jc w:val="center"/>
              <w:rPr>
                <w:rFonts w:ascii="宋体" w:hAnsi="宋体" w:cs="宋体"/>
                <w:sz w:val="22"/>
                <w:szCs w:val="22"/>
              </w:rPr>
            </w:pPr>
          </w:p>
        </w:tc>
        <w:tc>
          <w:tcPr>
            <w:tcW w:w="1984" w:type="dxa"/>
            <w:vAlign w:val="center"/>
          </w:tcPr>
          <w:p w14:paraId="77DE681F">
            <w:pPr>
              <w:spacing w:line="380" w:lineRule="exact"/>
              <w:jc w:val="center"/>
              <w:rPr>
                <w:rFonts w:ascii="宋体" w:hAnsi="宋体" w:cs="宋体"/>
                <w:sz w:val="22"/>
                <w:szCs w:val="22"/>
              </w:rPr>
            </w:pPr>
          </w:p>
        </w:tc>
        <w:tc>
          <w:tcPr>
            <w:tcW w:w="1859" w:type="dxa"/>
            <w:vAlign w:val="center"/>
          </w:tcPr>
          <w:p w14:paraId="6319A06D">
            <w:pPr>
              <w:spacing w:line="380" w:lineRule="exact"/>
              <w:jc w:val="center"/>
              <w:rPr>
                <w:rFonts w:ascii="宋体" w:hAnsi="宋体" w:cs="宋体"/>
                <w:sz w:val="22"/>
                <w:szCs w:val="22"/>
              </w:rPr>
            </w:pPr>
          </w:p>
        </w:tc>
        <w:tc>
          <w:tcPr>
            <w:tcW w:w="1586" w:type="dxa"/>
            <w:vAlign w:val="center"/>
          </w:tcPr>
          <w:p w14:paraId="18E450B8">
            <w:pPr>
              <w:spacing w:line="380" w:lineRule="exact"/>
              <w:jc w:val="center"/>
              <w:rPr>
                <w:rFonts w:ascii="宋体" w:hAnsi="宋体" w:cs="宋体"/>
                <w:sz w:val="22"/>
                <w:szCs w:val="22"/>
              </w:rPr>
            </w:pPr>
          </w:p>
        </w:tc>
      </w:tr>
      <w:tr w14:paraId="5BAD36E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77" w:hRule="atLeast"/>
          <w:jc w:val="center"/>
        </w:trPr>
        <w:tc>
          <w:tcPr>
            <w:tcW w:w="939" w:type="dxa"/>
            <w:vMerge w:val="continue"/>
          </w:tcPr>
          <w:p w14:paraId="4B045D5A">
            <w:pPr>
              <w:spacing w:line="380" w:lineRule="exact"/>
              <w:jc w:val="center"/>
              <w:rPr>
                <w:rFonts w:ascii="宋体" w:hAnsi="宋体" w:cs="宋体"/>
                <w:sz w:val="22"/>
                <w:szCs w:val="22"/>
              </w:rPr>
            </w:pPr>
          </w:p>
        </w:tc>
        <w:tc>
          <w:tcPr>
            <w:tcW w:w="1358" w:type="dxa"/>
            <w:vAlign w:val="center"/>
          </w:tcPr>
          <w:p w14:paraId="22069BDA">
            <w:pPr>
              <w:spacing w:line="380" w:lineRule="exact"/>
              <w:jc w:val="center"/>
              <w:rPr>
                <w:rFonts w:ascii="宋体" w:hAnsi="宋体" w:cs="宋体"/>
                <w:sz w:val="22"/>
                <w:szCs w:val="22"/>
              </w:rPr>
            </w:pPr>
          </w:p>
        </w:tc>
        <w:tc>
          <w:tcPr>
            <w:tcW w:w="2088" w:type="dxa"/>
            <w:vAlign w:val="center"/>
          </w:tcPr>
          <w:p w14:paraId="7442ADD8">
            <w:pPr>
              <w:spacing w:line="380" w:lineRule="exact"/>
              <w:jc w:val="center"/>
              <w:rPr>
                <w:rFonts w:ascii="宋体" w:hAnsi="宋体" w:cs="宋体"/>
                <w:sz w:val="22"/>
                <w:szCs w:val="22"/>
              </w:rPr>
            </w:pPr>
          </w:p>
        </w:tc>
        <w:tc>
          <w:tcPr>
            <w:tcW w:w="1984" w:type="dxa"/>
            <w:vAlign w:val="center"/>
          </w:tcPr>
          <w:p w14:paraId="7A7C9918">
            <w:pPr>
              <w:spacing w:line="380" w:lineRule="exact"/>
              <w:jc w:val="center"/>
              <w:rPr>
                <w:rFonts w:ascii="宋体" w:hAnsi="宋体" w:cs="宋体"/>
                <w:sz w:val="22"/>
                <w:szCs w:val="22"/>
              </w:rPr>
            </w:pPr>
          </w:p>
        </w:tc>
        <w:tc>
          <w:tcPr>
            <w:tcW w:w="1859" w:type="dxa"/>
            <w:vAlign w:val="center"/>
          </w:tcPr>
          <w:p w14:paraId="6F342C5A">
            <w:pPr>
              <w:spacing w:line="380" w:lineRule="exact"/>
              <w:jc w:val="center"/>
              <w:rPr>
                <w:rFonts w:ascii="宋体" w:hAnsi="宋体" w:cs="宋体"/>
                <w:sz w:val="22"/>
                <w:szCs w:val="22"/>
              </w:rPr>
            </w:pPr>
          </w:p>
        </w:tc>
        <w:tc>
          <w:tcPr>
            <w:tcW w:w="1586" w:type="dxa"/>
            <w:vAlign w:val="center"/>
          </w:tcPr>
          <w:p w14:paraId="5263C0C6">
            <w:pPr>
              <w:spacing w:line="380" w:lineRule="exact"/>
              <w:jc w:val="center"/>
              <w:rPr>
                <w:rFonts w:ascii="宋体" w:hAnsi="宋体" w:cs="宋体"/>
                <w:sz w:val="22"/>
                <w:szCs w:val="22"/>
              </w:rPr>
            </w:pPr>
          </w:p>
        </w:tc>
      </w:tr>
      <w:tr w14:paraId="3B0862B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77" w:hRule="atLeast"/>
          <w:jc w:val="center"/>
        </w:trPr>
        <w:tc>
          <w:tcPr>
            <w:tcW w:w="939" w:type="dxa"/>
            <w:vMerge w:val="continue"/>
          </w:tcPr>
          <w:p w14:paraId="0CD741F4">
            <w:pPr>
              <w:spacing w:line="380" w:lineRule="exact"/>
              <w:jc w:val="center"/>
              <w:rPr>
                <w:rFonts w:ascii="宋体" w:hAnsi="宋体" w:cs="宋体"/>
                <w:sz w:val="22"/>
                <w:szCs w:val="22"/>
              </w:rPr>
            </w:pPr>
          </w:p>
        </w:tc>
        <w:tc>
          <w:tcPr>
            <w:tcW w:w="1358" w:type="dxa"/>
            <w:vAlign w:val="center"/>
          </w:tcPr>
          <w:p w14:paraId="023C6D8A">
            <w:pPr>
              <w:spacing w:line="380" w:lineRule="exact"/>
              <w:jc w:val="center"/>
              <w:rPr>
                <w:rFonts w:ascii="宋体" w:hAnsi="宋体" w:cs="宋体"/>
                <w:sz w:val="22"/>
                <w:szCs w:val="22"/>
              </w:rPr>
            </w:pPr>
          </w:p>
        </w:tc>
        <w:tc>
          <w:tcPr>
            <w:tcW w:w="2088" w:type="dxa"/>
            <w:vAlign w:val="center"/>
          </w:tcPr>
          <w:p w14:paraId="418149BE">
            <w:pPr>
              <w:spacing w:line="380" w:lineRule="exact"/>
              <w:jc w:val="center"/>
              <w:rPr>
                <w:rFonts w:ascii="宋体" w:hAnsi="宋体" w:cs="宋体"/>
                <w:sz w:val="22"/>
                <w:szCs w:val="22"/>
              </w:rPr>
            </w:pPr>
          </w:p>
        </w:tc>
        <w:tc>
          <w:tcPr>
            <w:tcW w:w="1984" w:type="dxa"/>
            <w:vAlign w:val="center"/>
          </w:tcPr>
          <w:p w14:paraId="341B6E46">
            <w:pPr>
              <w:spacing w:line="380" w:lineRule="exact"/>
              <w:jc w:val="center"/>
              <w:rPr>
                <w:rFonts w:ascii="宋体" w:hAnsi="宋体" w:cs="宋体"/>
                <w:sz w:val="22"/>
                <w:szCs w:val="22"/>
              </w:rPr>
            </w:pPr>
          </w:p>
        </w:tc>
        <w:tc>
          <w:tcPr>
            <w:tcW w:w="1859" w:type="dxa"/>
            <w:vAlign w:val="center"/>
          </w:tcPr>
          <w:p w14:paraId="2F635899">
            <w:pPr>
              <w:spacing w:line="380" w:lineRule="exact"/>
              <w:jc w:val="center"/>
              <w:rPr>
                <w:rFonts w:ascii="宋体" w:hAnsi="宋体" w:cs="宋体"/>
                <w:sz w:val="22"/>
                <w:szCs w:val="22"/>
              </w:rPr>
            </w:pPr>
          </w:p>
        </w:tc>
        <w:tc>
          <w:tcPr>
            <w:tcW w:w="1586" w:type="dxa"/>
            <w:vAlign w:val="center"/>
          </w:tcPr>
          <w:p w14:paraId="1DEAB8E3">
            <w:pPr>
              <w:spacing w:line="380" w:lineRule="exact"/>
              <w:jc w:val="center"/>
              <w:rPr>
                <w:rFonts w:ascii="宋体" w:hAnsi="宋体" w:cs="宋体"/>
                <w:sz w:val="22"/>
                <w:szCs w:val="22"/>
              </w:rPr>
            </w:pPr>
          </w:p>
        </w:tc>
      </w:tr>
      <w:tr w14:paraId="2744881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914" w:hRule="atLeast"/>
          <w:jc w:val="center"/>
        </w:trPr>
        <w:tc>
          <w:tcPr>
            <w:tcW w:w="939" w:type="dxa"/>
            <w:vMerge w:val="restart"/>
            <w:vAlign w:val="center"/>
          </w:tcPr>
          <w:p w14:paraId="0DC12AA0">
            <w:pPr>
              <w:spacing w:line="380" w:lineRule="exact"/>
              <w:jc w:val="center"/>
              <w:rPr>
                <w:rFonts w:ascii="宋体" w:hAnsi="宋体" w:cs="宋体"/>
                <w:sz w:val="22"/>
                <w:szCs w:val="22"/>
              </w:rPr>
            </w:pPr>
            <w:r>
              <w:rPr>
                <w:rFonts w:hint="eastAsia" w:ascii="宋体" w:hAnsi="宋体" w:cs="宋体"/>
                <w:sz w:val="22"/>
                <w:szCs w:val="22"/>
              </w:rPr>
              <w:t>商</w:t>
            </w:r>
          </w:p>
          <w:p w14:paraId="26AE7CFA">
            <w:pPr>
              <w:spacing w:line="380" w:lineRule="exact"/>
              <w:jc w:val="center"/>
              <w:rPr>
                <w:rFonts w:ascii="宋体" w:hAnsi="宋体" w:cs="宋体"/>
                <w:sz w:val="22"/>
                <w:szCs w:val="22"/>
              </w:rPr>
            </w:pPr>
            <w:r>
              <w:rPr>
                <w:rFonts w:hint="eastAsia" w:ascii="宋体" w:hAnsi="宋体" w:cs="宋体"/>
                <w:sz w:val="22"/>
                <w:szCs w:val="22"/>
              </w:rPr>
              <w:t>务</w:t>
            </w:r>
          </w:p>
          <w:p w14:paraId="2E7B4BA1">
            <w:pPr>
              <w:spacing w:line="380" w:lineRule="exact"/>
              <w:jc w:val="center"/>
              <w:rPr>
                <w:rFonts w:ascii="宋体" w:hAnsi="宋体" w:cs="宋体"/>
                <w:sz w:val="22"/>
                <w:szCs w:val="22"/>
              </w:rPr>
            </w:pPr>
            <w:r>
              <w:rPr>
                <w:rFonts w:hint="eastAsia" w:ascii="宋体" w:hAnsi="宋体" w:cs="宋体"/>
                <w:sz w:val="22"/>
                <w:szCs w:val="22"/>
              </w:rPr>
              <w:t>条</w:t>
            </w:r>
          </w:p>
          <w:p w14:paraId="7084050C">
            <w:pPr>
              <w:spacing w:line="380" w:lineRule="exact"/>
              <w:jc w:val="center"/>
              <w:rPr>
                <w:rFonts w:ascii="宋体" w:hAnsi="宋体" w:cs="宋体"/>
                <w:sz w:val="22"/>
                <w:szCs w:val="22"/>
              </w:rPr>
            </w:pPr>
            <w:r>
              <w:rPr>
                <w:rFonts w:hint="eastAsia" w:ascii="宋体" w:hAnsi="宋体" w:cs="宋体"/>
                <w:sz w:val="22"/>
                <w:szCs w:val="22"/>
              </w:rPr>
              <w:t>款</w:t>
            </w:r>
          </w:p>
        </w:tc>
        <w:tc>
          <w:tcPr>
            <w:tcW w:w="1358" w:type="dxa"/>
            <w:vAlign w:val="center"/>
          </w:tcPr>
          <w:p w14:paraId="07DE67B3">
            <w:pPr>
              <w:spacing w:line="380" w:lineRule="exact"/>
              <w:jc w:val="center"/>
              <w:rPr>
                <w:rFonts w:ascii="宋体" w:hAnsi="宋体" w:cs="宋体"/>
                <w:sz w:val="22"/>
                <w:szCs w:val="22"/>
              </w:rPr>
            </w:pPr>
          </w:p>
        </w:tc>
        <w:tc>
          <w:tcPr>
            <w:tcW w:w="2088" w:type="dxa"/>
            <w:vAlign w:val="center"/>
          </w:tcPr>
          <w:p w14:paraId="73717C04">
            <w:pPr>
              <w:spacing w:line="380" w:lineRule="exact"/>
              <w:jc w:val="center"/>
              <w:rPr>
                <w:rFonts w:ascii="宋体" w:hAnsi="宋体" w:cs="宋体"/>
                <w:sz w:val="22"/>
                <w:szCs w:val="22"/>
              </w:rPr>
            </w:pPr>
          </w:p>
        </w:tc>
        <w:tc>
          <w:tcPr>
            <w:tcW w:w="1984" w:type="dxa"/>
            <w:vAlign w:val="center"/>
          </w:tcPr>
          <w:p w14:paraId="35291C97">
            <w:pPr>
              <w:spacing w:line="380" w:lineRule="exact"/>
              <w:jc w:val="center"/>
              <w:rPr>
                <w:rFonts w:ascii="宋体" w:hAnsi="宋体" w:cs="宋体"/>
                <w:sz w:val="22"/>
                <w:szCs w:val="22"/>
              </w:rPr>
            </w:pPr>
          </w:p>
        </w:tc>
        <w:tc>
          <w:tcPr>
            <w:tcW w:w="1859" w:type="dxa"/>
            <w:vAlign w:val="center"/>
          </w:tcPr>
          <w:p w14:paraId="03436485">
            <w:pPr>
              <w:spacing w:line="380" w:lineRule="exact"/>
              <w:jc w:val="center"/>
              <w:rPr>
                <w:rFonts w:ascii="宋体" w:hAnsi="宋体" w:cs="宋体"/>
                <w:sz w:val="22"/>
                <w:szCs w:val="22"/>
              </w:rPr>
            </w:pPr>
          </w:p>
        </w:tc>
        <w:tc>
          <w:tcPr>
            <w:tcW w:w="1586" w:type="dxa"/>
            <w:vAlign w:val="center"/>
          </w:tcPr>
          <w:p w14:paraId="0238B933">
            <w:pPr>
              <w:spacing w:line="380" w:lineRule="exact"/>
              <w:jc w:val="center"/>
              <w:rPr>
                <w:rFonts w:ascii="宋体" w:hAnsi="宋体" w:cs="宋体"/>
                <w:sz w:val="22"/>
                <w:szCs w:val="22"/>
              </w:rPr>
            </w:pPr>
          </w:p>
        </w:tc>
      </w:tr>
      <w:tr w14:paraId="2417231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77" w:hRule="atLeast"/>
          <w:jc w:val="center"/>
        </w:trPr>
        <w:tc>
          <w:tcPr>
            <w:tcW w:w="939" w:type="dxa"/>
            <w:vMerge w:val="continue"/>
          </w:tcPr>
          <w:p w14:paraId="534EF2BE">
            <w:pPr>
              <w:spacing w:line="380" w:lineRule="exact"/>
              <w:jc w:val="center"/>
              <w:rPr>
                <w:rFonts w:ascii="宋体" w:hAnsi="宋体" w:cs="宋体"/>
                <w:sz w:val="22"/>
                <w:szCs w:val="22"/>
              </w:rPr>
            </w:pPr>
          </w:p>
        </w:tc>
        <w:tc>
          <w:tcPr>
            <w:tcW w:w="1358" w:type="dxa"/>
            <w:vAlign w:val="center"/>
          </w:tcPr>
          <w:p w14:paraId="76E04D47">
            <w:pPr>
              <w:spacing w:line="380" w:lineRule="exact"/>
              <w:jc w:val="center"/>
              <w:rPr>
                <w:rFonts w:ascii="宋体" w:hAnsi="宋体" w:cs="宋体"/>
                <w:sz w:val="22"/>
                <w:szCs w:val="22"/>
              </w:rPr>
            </w:pPr>
          </w:p>
        </w:tc>
        <w:tc>
          <w:tcPr>
            <w:tcW w:w="2088" w:type="dxa"/>
            <w:vAlign w:val="center"/>
          </w:tcPr>
          <w:p w14:paraId="3C06E96A">
            <w:pPr>
              <w:spacing w:line="380" w:lineRule="exact"/>
              <w:jc w:val="center"/>
              <w:rPr>
                <w:rFonts w:ascii="宋体" w:hAnsi="宋体" w:cs="宋体"/>
                <w:sz w:val="22"/>
                <w:szCs w:val="22"/>
              </w:rPr>
            </w:pPr>
          </w:p>
        </w:tc>
        <w:tc>
          <w:tcPr>
            <w:tcW w:w="1984" w:type="dxa"/>
            <w:vAlign w:val="center"/>
          </w:tcPr>
          <w:p w14:paraId="688CEA32">
            <w:pPr>
              <w:spacing w:line="380" w:lineRule="exact"/>
              <w:jc w:val="center"/>
              <w:rPr>
                <w:rFonts w:ascii="宋体" w:hAnsi="宋体" w:cs="宋体"/>
                <w:sz w:val="22"/>
                <w:szCs w:val="22"/>
              </w:rPr>
            </w:pPr>
          </w:p>
        </w:tc>
        <w:tc>
          <w:tcPr>
            <w:tcW w:w="1859" w:type="dxa"/>
            <w:vAlign w:val="center"/>
          </w:tcPr>
          <w:p w14:paraId="41C1FC53">
            <w:pPr>
              <w:spacing w:line="380" w:lineRule="exact"/>
              <w:jc w:val="center"/>
              <w:rPr>
                <w:rFonts w:ascii="宋体" w:hAnsi="宋体" w:cs="宋体"/>
                <w:sz w:val="22"/>
                <w:szCs w:val="22"/>
              </w:rPr>
            </w:pPr>
          </w:p>
        </w:tc>
        <w:tc>
          <w:tcPr>
            <w:tcW w:w="1586" w:type="dxa"/>
            <w:vAlign w:val="center"/>
          </w:tcPr>
          <w:p w14:paraId="377ADF96">
            <w:pPr>
              <w:spacing w:line="380" w:lineRule="exact"/>
              <w:jc w:val="center"/>
              <w:rPr>
                <w:rFonts w:ascii="宋体" w:hAnsi="宋体" w:cs="宋体"/>
                <w:sz w:val="22"/>
                <w:szCs w:val="22"/>
              </w:rPr>
            </w:pPr>
          </w:p>
        </w:tc>
      </w:tr>
      <w:tr w14:paraId="0D41924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77" w:hRule="atLeast"/>
          <w:jc w:val="center"/>
        </w:trPr>
        <w:tc>
          <w:tcPr>
            <w:tcW w:w="939" w:type="dxa"/>
            <w:vMerge w:val="continue"/>
          </w:tcPr>
          <w:p w14:paraId="39292E30">
            <w:pPr>
              <w:spacing w:line="380" w:lineRule="exact"/>
              <w:jc w:val="center"/>
              <w:rPr>
                <w:rFonts w:ascii="宋体" w:hAnsi="宋体" w:cs="宋体"/>
                <w:sz w:val="22"/>
                <w:szCs w:val="22"/>
              </w:rPr>
            </w:pPr>
          </w:p>
        </w:tc>
        <w:tc>
          <w:tcPr>
            <w:tcW w:w="1358" w:type="dxa"/>
            <w:vAlign w:val="center"/>
          </w:tcPr>
          <w:p w14:paraId="46E63922">
            <w:pPr>
              <w:spacing w:line="380" w:lineRule="exact"/>
              <w:jc w:val="center"/>
              <w:rPr>
                <w:rFonts w:ascii="宋体" w:hAnsi="宋体" w:cs="宋体"/>
                <w:sz w:val="22"/>
                <w:szCs w:val="22"/>
              </w:rPr>
            </w:pPr>
          </w:p>
        </w:tc>
        <w:tc>
          <w:tcPr>
            <w:tcW w:w="2088" w:type="dxa"/>
            <w:vAlign w:val="center"/>
          </w:tcPr>
          <w:p w14:paraId="02466044">
            <w:pPr>
              <w:spacing w:line="380" w:lineRule="exact"/>
              <w:jc w:val="center"/>
              <w:rPr>
                <w:rFonts w:ascii="宋体" w:hAnsi="宋体" w:cs="宋体"/>
                <w:sz w:val="22"/>
                <w:szCs w:val="22"/>
              </w:rPr>
            </w:pPr>
          </w:p>
        </w:tc>
        <w:tc>
          <w:tcPr>
            <w:tcW w:w="1984" w:type="dxa"/>
            <w:vAlign w:val="center"/>
          </w:tcPr>
          <w:p w14:paraId="5D89C65E">
            <w:pPr>
              <w:spacing w:line="380" w:lineRule="exact"/>
              <w:jc w:val="center"/>
              <w:rPr>
                <w:rFonts w:ascii="宋体" w:hAnsi="宋体" w:cs="宋体"/>
                <w:sz w:val="22"/>
                <w:szCs w:val="22"/>
              </w:rPr>
            </w:pPr>
          </w:p>
        </w:tc>
        <w:tc>
          <w:tcPr>
            <w:tcW w:w="1859" w:type="dxa"/>
            <w:vAlign w:val="center"/>
          </w:tcPr>
          <w:p w14:paraId="31DA3158">
            <w:pPr>
              <w:spacing w:line="380" w:lineRule="exact"/>
              <w:jc w:val="center"/>
              <w:rPr>
                <w:rFonts w:ascii="宋体" w:hAnsi="宋体" w:cs="宋体"/>
                <w:sz w:val="22"/>
                <w:szCs w:val="22"/>
              </w:rPr>
            </w:pPr>
          </w:p>
        </w:tc>
        <w:tc>
          <w:tcPr>
            <w:tcW w:w="1586" w:type="dxa"/>
            <w:vAlign w:val="center"/>
          </w:tcPr>
          <w:p w14:paraId="18150B08">
            <w:pPr>
              <w:spacing w:line="380" w:lineRule="exact"/>
              <w:jc w:val="center"/>
              <w:rPr>
                <w:rFonts w:ascii="宋体" w:hAnsi="宋体" w:cs="宋体"/>
                <w:sz w:val="22"/>
                <w:szCs w:val="22"/>
              </w:rPr>
            </w:pPr>
          </w:p>
        </w:tc>
      </w:tr>
      <w:tr w14:paraId="6BB8EBC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77" w:hRule="atLeast"/>
          <w:jc w:val="center"/>
        </w:trPr>
        <w:tc>
          <w:tcPr>
            <w:tcW w:w="939" w:type="dxa"/>
            <w:vMerge w:val="continue"/>
          </w:tcPr>
          <w:p w14:paraId="142F6CB7">
            <w:pPr>
              <w:spacing w:line="380" w:lineRule="exact"/>
              <w:jc w:val="center"/>
              <w:rPr>
                <w:rFonts w:ascii="宋体" w:hAnsi="宋体" w:cs="宋体"/>
                <w:sz w:val="22"/>
                <w:szCs w:val="22"/>
              </w:rPr>
            </w:pPr>
          </w:p>
        </w:tc>
        <w:tc>
          <w:tcPr>
            <w:tcW w:w="1358" w:type="dxa"/>
            <w:vAlign w:val="center"/>
          </w:tcPr>
          <w:p w14:paraId="323376DA">
            <w:pPr>
              <w:spacing w:line="380" w:lineRule="exact"/>
              <w:jc w:val="center"/>
              <w:rPr>
                <w:rFonts w:ascii="宋体" w:hAnsi="宋体" w:cs="宋体"/>
                <w:sz w:val="22"/>
                <w:szCs w:val="22"/>
              </w:rPr>
            </w:pPr>
          </w:p>
        </w:tc>
        <w:tc>
          <w:tcPr>
            <w:tcW w:w="2088" w:type="dxa"/>
            <w:vAlign w:val="center"/>
          </w:tcPr>
          <w:p w14:paraId="1BD6762C">
            <w:pPr>
              <w:spacing w:line="380" w:lineRule="exact"/>
              <w:jc w:val="center"/>
              <w:rPr>
                <w:rFonts w:ascii="宋体" w:hAnsi="宋体" w:cs="宋体"/>
                <w:sz w:val="22"/>
                <w:szCs w:val="22"/>
              </w:rPr>
            </w:pPr>
          </w:p>
        </w:tc>
        <w:tc>
          <w:tcPr>
            <w:tcW w:w="1984" w:type="dxa"/>
            <w:vAlign w:val="center"/>
          </w:tcPr>
          <w:p w14:paraId="6C0DAB8A">
            <w:pPr>
              <w:spacing w:line="380" w:lineRule="exact"/>
              <w:jc w:val="center"/>
              <w:rPr>
                <w:rFonts w:ascii="宋体" w:hAnsi="宋体" w:cs="宋体"/>
                <w:sz w:val="22"/>
                <w:szCs w:val="22"/>
              </w:rPr>
            </w:pPr>
          </w:p>
        </w:tc>
        <w:tc>
          <w:tcPr>
            <w:tcW w:w="1859" w:type="dxa"/>
            <w:vAlign w:val="center"/>
          </w:tcPr>
          <w:p w14:paraId="5A8E8C9F">
            <w:pPr>
              <w:spacing w:line="380" w:lineRule="exact"/>
              <w:jc w:val="center"/>
              <w:rPr>
                <w:rFonts w:ascii="宋体" w:hAnsi="宋体" w:cs="宋体"/>
                <w:sz w:val="22"/>
                <w:szCs w:val="22"/>
              </w:rPr>
            </w:pPr>
          </w:p>
        </w:tc>
        <w:tc>
          <w:tcPr>
            <w:tcW w:w="1586" w:type="dxa"/>
            <w:vAlign w:val="center"/>
          </w:tcPr>
          <w:p w14:paraId="46A3B640">
            <w:pPr>
              <w:spacing w:line="380" w:lineRule="exact"/>
              <w:jc w:val="center"/>
              <w:rPr>
                <w:rFonts w:ascii="宋体" w:hAnsi="宋体" w:cs="宋体"/>
                <w:sz w:val="22"/>
                <w:szCs w:val="22"/>
              </w:rPr>
            </w:pPr>
          </w:p>
        </w:tc>
      </w:tr>
      <w:tr w14:paraId="44C3DA9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77" w:hRule="atLeast"/>
          <w:jc w:val="center"/>
        </w:trPr>
        <w:tc>
          <w:tcPr>
            <w:tcW w:w="939" w:type="dxa"/>
            <w:vMerge w:val="continue"/>
          </w:tcPr>
          <w:p w14:paraId="21532C82">
            <w:pPr>
              <w:spacing w:line="380" w:lineRule="exact"/>
              <w:jc w:val="center"/>
              <w:rPr>
                <w:rFonts w:ascii="宋体" w:hAnsi="宋体" w:cs="宋体"/>
                <w:sz w:val="22"/>
                <w:szCs w:val="22"/>
              </w:rPr>
            </w:pPr>
          </w:p>
        </w:tc>
        <w:tc>
          <w:tcPr>
            <w:tcW w:w="1358" w:type="dxa"/>
            <w:vAlign w:val="center"/>
          </w:tcPr>
          <w:p w14:paraId="68A85B20">
            <w:pPr>
              <w:spacing w:line="380" w:lineRule="exact"/>
              <w:jc w:val="center"/>
              <w:rPr>
                <w:rFonts w:ascii="宋体" w:hAnsi="宋体" w:cs="宋体"/>
                <w:sz w:val="22"/>
                <w:szCs w:val="22"/>
              </w:rPr>
            </w:pPr>
          </w:p>
        </w:tc>
        <w:tc>
          <w:tcPr>
            <w:tcW w:w="2088" w:type="dxa"/>
            <w:vAlign w:val="center"/>
          </w:tcPr>
          <w:p w14:paraId="6DDB32E5">
            <w:pPr>
              <w:spacing w:line="380" w:lineRule="exact"/>
              <w:jc w:val="center"/>
              <w:rPr>
                <w:rFonts w:ascii="宋体" w:hAnsi="宋体" w:cs="宋体"/>
                <w:sz w:val="22"/>
                <w:szCs w:val="22"/>
              </w:rPr>
            </w:pPr>
          </w:p>
        </w:tc>
        <w:tc>
          <w:tcPr>
            <w:tcW w:w="1984" w:type="dxa"/>
            <w:vAlign w:val="center"/>
          </w:tcPr>
          <w:p w14:paraId="75EEA43A">
            <w:pPr>
              <w:spacing w:line="380" w:lineRule="exact"/>
              <w:jc w:val="center"/>
              <w:rPr>
                <w:rFonts w:ascii="宋体" w:hAnsi="宋体" w:cs="宋体"/>
                <w:sz w:val="22"/>
                <w:szCs w:val="22"/>
              </w:rPr>
            </w:pPr>
          </w:p>
        </w:tc>
        <w:tc>
          <w:tcPr>
            <w:tcW w:w="1859" w:type="dxa"/>
            <w:vAlign w:val="center"/>
          </w:tcPr>
          <w:p w14:paraId="112DE3A9">
            <w:pPr>
              <w:spacing w:line="380" w:lineRule="exact"/>
              <w:jc w:val="center"/>
              <w:rPr>
                <w:rFonts w:ascii="宋体" w:hAnsi="宋体" w:cs="宋体"/>
                <w:sz w:val="22"/>
                <w:szCs w:val="22"/>
              </w:rPr>
            </w:pPr>
          </w:p>
        </w:tc>
        <w:tc>
          <w:tcPr>
            <w:tcW w:w="1586" w:type="dxa"/>
            <w:vAlign w:val="center"/>
          </w:tcPr>
          <w:p w14:paraId="0730CD84">
            <w:pPr>
              <w:spacing w:line="380" w:lineRule="exact"/>
              <w:jc w:val="center"/>
              <w:rPr>
                <w:rFonts w:ascii="宋体" w:hAnsi="宋体" w:cs="宋体"/>
                <w:sz w:val="22"/>
                <w:szCs w:val="22"/>
              </w:rPr>
            </w:pPr>
          </w:p>
        </w:tc>
      </w:tr>
    </w:tbl>
    <w:p w14:paraId="39B17D7A">
      <w:pPr>
        <w:spacing w:line="380" w:lineRule="exact"/>
        <w:jc w:val="left"/>
        <w:rPr>
          <w:rFonts w:ascii="宋体" w:hAnsi="宋体" w:cs="宋体"/>
          <w:b/>
          <w:sz w:val="22"/>
          <w:szCs w:val="22"/>
        </w:rPr>
      </w:pPr>
      <w:r>
        <w:rPr>
          <w:rFonts w:hint="eastAsia" w:ascii="宋体" w:hAnsi="宋体" w:cs="宋体"/>
          <w:b/>
          <w:sz w:val="22"/>
          <w:szCs w:val="22"/>
        </w:rPr>
        <w:t>注：如投标文件含正偏离和负偏离，都应说明。如不填写，视为无偏离。</w:t>
      </w:r>
    </w:p>
    <w:p w14:paraId="21651047">
      <w:pPr>
        <w:spacing w:line="380" w:lineRule="exact"/>
        <w:jc w:val="left"/>
        <w:rPr>
          <w:rFonts w:ascii="新宋体" w:hAnsi="新宋体" w:eastAsia="新宋体"/>
          <w:sz w:val="22"/>
          <w:szCs w:val="22"/>
        </w:rPr>
      </w:pPr>
      <w:r>
        <w:rPr>
          <w:rFonts w:hint="eastAsia" w:ascii="新宋体" w:hAnsi="新宋体" w:eastAsia="新宋体"/>
          <w:sz w:val="22"/>
          <w:szCs w:val="22"/>
        </w:rPr>
        <w:t xml:space="preserve">投标人全称（加盖单位公章）： </w:t>
      </w:r>
    </w:p>
    <w:p w14:paraId="57A1CF0B">
      <w:pPr>
        <w:spacing w:line="380" w:lineRule="exact"/>
        <w:jc w:val="left"/>
        <w:rPr>
          <w:rFonts w:ascii="新宋体" w:hAnsi="新宋体" w:eastAsia="新宋体"/>
          <w:sz w:val="22"/>
          <w:szCs w:val="22"/>
        </w:rPr>
      </w:pPr>
      <w:r>
        <w:rPr>
          <w:rFonts w:hint="eastAsia" w:ascii="新宋体" w:hAnsi="新宋体" w:eastAsia="新宋体"/>
          <w:sz w:val="22"/>
          <w:szCs w:val="22"/>
        </w:rPr>
        <w:t>法定代表人或授权代表（签字或盖章）：</w:t>
      </w:r>
    </w:p>
    <w:p w14:paraId="58B78AD0">
      <w:pPr>
        <w:spacing w:line="380" w:lineRule="exact"/>
        <w:jc w:val="left"/>
        <w:rPr>
          <w:rFonts w:ascii="新宋体" w:hAnsi="新宋体" w:eastAsia="新宋体"/>
          <w:sz w:val="22"/>
          <w:szCs w:val="22"/>
        </w:rPr>
      </w:pPr>
      <w:r>
        <w:rPr>
          <w:rFonts w:hint="eastAsia" w:ascii="新宋体" w:hAnsi="新宋体" w:eastAsia="新宋体"/>
          <w:sz w:val="22"/>
          <w:szCs w:val="22"/>
        </w:rPr>
        <w:t>日 期：  年  月  日</w:t>
      </w:r>
    </w:p>
    <w:p w14:paraId="42FAC934">
      <w:pPr>
        <w:widowControl/>
        <w:jc w:val="left"/>
        <w:rPr>
          <w:rFonts w:ascii="宋体" w:hAnsi="宋体"/>
          <w:b/>
          <w:color w:val="000000"/>
          <w:sz w:val="28"/>
          <w:szCs w:val="28"/>
        </w:rPr>
      </w:pPr>
    </w:p>
    <w:p w14:paraId="27F66771">
      <w:pPr>
        <w:rPr>
          <w:rFonts w:ascii="宋体" w:hAnsi="宋体"/>
          <w:color w:val="000000"/>
          <w:sz w:val="28"/>
          <w:szCs w:val="28"/>
        </w:rPr>
      </w:pPr>
      <w:r>
        <w:rPr>
          <w:rFonts w:hint="eastAsia" w:ascii="宋体" w:hAnsi="宋体"/>
          <w:color w:val="000000"/>
          <w:sz w:val="28"/>
          <w:szCs w:val="28"/>
        </w:rPr>
        <w:br w:type="page"/>
      </w:r>
    </w:p>
    <w:p w14:paraId="35FABF51">
      <w:pPr>
        <w:spacing w:line="360" w:lineRule="auto"/>
        <w:jc w:val="left"/>
        <w:rPr>
          <w:rFonts w:ascii="宋体" w:hAnsi="宋体"/>
          <w:color w:val="000000"/>
          <w:sz w:val="24"/>
          <w:szCs w:val="28"/>
        </w:rPr>
      </w:pPr>
      <w:r>
        <w:rPr>
          <w:rFonts w:hint="eastAsia" w:ascii="宋体" w:hAnsi="宋体"/>
          <w:color w:val="000000"/>
          <w:sz w:val="28"/>
          <w:szCs w:val="28"/>
        </w:rPr>
        <w:t>附件四</w:t>
      </w:r>
    </w:p>
    <w:p w14:paraId="4E42FA70">
      <w:pPr>
        <w:spacing w:line="320" w:lineRule="exact"/>
        <w:jc w:val="center"/>
        <w:outlineLvl w:val="2"/>
        <w:rPr>
          <w:rFonts w:ascii="宋体" w:hAnsi="宋体" w:cs="宋体"/>
          <w:b/>
          <w:bCs/>
          <w:sz w:val="30"/>
        </w:rPr>
      </w:pPr>
      <w:r>
        <w:rPr>
          <w:rFonts w:hint="eastAsia" w:ascii="宋体" w:hAnsi="宋体" w:cs="宋体"/>
          <w:b/>
          <w:bCs/>
          <w:sz w:val="30"/>
        </w:rPr>
        <w:t>投标人20</w:t>
      </w:r>
      <w:r>
        <w:rPr>
          <w:rFonts w:ascii="宋体" w:hAnsi="宋体" w:cs="宋体"/>
          <w:b/>
          <w:bCs/>
          <w:sz w:val="30"/>
        </w:rPr>
        <w:t>2</w:t>
      </w:r>
      <w:r>
        <w:rPr>
          <w:rFonts w:hint="eastAsia" w:ascii="宋体" w:hAnsi="宋体" w:cs="宋体"/>
          <w:b/>
          <w:bCs/>
          <w:sz w:val="30"/>
        </w:rPr>
        <w:t>3年7月1日以来同类项目业绩</w:t>
      </w:r>
    </w:p>
    <w:p w14:paraId="763D3F4D">
      <w:pPr>
        <w:spacing w:line="320" w:lineRule="exact"/>
        <w:jc w:val="center"/>
        <w:rPr>
          <w:rFonts w:ascii="宋体" w:hAnsi="宋体" w:cs="宋体"/>
          <w:b/>
          <w:bCs/>
          <w:sz w:val="30"/>
        </w:rPr>
      </w:pPr>
    </w:p>
    <w:tbl>
      <w:tblPr>
        <w:tblStyle w:val="28"/>
        <w:tblpPr w:leftFromText="180" w:rightFromText="180" w:vertAnchor="text" w:tblpXSpec="center" w:tblpY="1"/>
        <w:tblOverlap w:val="never"/>
        <w:tblW w:w="94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72"/>
        <w:gridCol w:w="1608"/>
        <w:gridCol w:w="1675"/>
        <w:gridCol w:w="1598"/>
        <w:gridCol w:w="1803"/>
      </w:tblGrid>
      <w:tr w14:paraId="4D61A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772" w:type="dxa"/>
            <w:vAlign w:val="center"/>
          </w:tcPr>
          <w:p w14:paraId="21DB23E2">
            <w:pPr>
              <w:spacing w:line="400" w:lineRule="atLeast"/>
              <w:jc w:val="center"/>
              <w:rPr>
                <w:rFonts w:ascii="宋体" w:hAnsi="宋体" w:cs="宋体"/>
                <w:sz w:val="24"/>
              </w:rPr>
            </w:pPr>
            <w:r>
              <w:rPr>
                <w:rFonts w:hint="eastAsia" w:ascii="宋体" w:hAnsi="宋体" w:cs="宋体"/>
                <w:sz w:val="24"/>
              </w:rPr>
              <w:t>项目名称</w:t>
            </w:r>
          </w:p>
        </w:tc>
        <w:tc>
          <w:tcPr>
            <w:tcW w:w="1608" w:type="dxa"/>
            <w:vAlign w:val="center"/>
          </w:tcPr>
          <w:p w14:paraId="700EF1C3">
            <w:pPr>
              <w:spacing w:line="400" w:lineRule="atLeast"/>
              <w:jc w:val="center"/>
              <w:rPr>
                <w:rFonts w:ascii="宋体" w:hAnsi="宋体" w:cs="宋体"/>
                <w:sz w:val="24"/>
              </w:rPr>
            </w:pPr>
            <w:r>
              <w:rPr>
                <w:rFonts w:hint="eastAsia" w:ascii="宋体" w:hAnsi="宋体" w:cs="宋体"/>
                <w:sz w:val="24"/>
              </w:rPr>
              <w:t>合同金额</w:t>
            </w:r>
          </w:p>
        </w:tc>
        <w:tc>
          <w:tcPr>
            <w:tcW w:w="1675" w:type="dxa"/>
            <w:vAlign w:val="center"/>
          </w:tcPr>
          <w:p w14:paraId="66F46D1B">
            <w:pPr>
              <w:spacing w:line="400" w:lineRule="atLeast"/>
              <w:jc w:val="center"/>
              <w:rPr>
                <w:rFonts w:ascii="宋体" w:hAnsi="宋体" w:cs="宋体"/>
                <w:sz w:val="24"/>
              </w:rPr>
            </w:pPr>
            <w:r>
              <w:rPr>
                <w:rFonts w:hint="eastAsia" w:ascii="宋体" w:hAnsi="宋体" w:cs="宋体"/>
                <w:sz w:val="24"/>
              </w:rPr>
              <w:t>业主单位全称</w:t>
            </w:r>
          </w:p>
        </w:tc>
        <w:tc>
          <w:tcPr>
            <w:tcW w:w="1598" w:type="dxa"/>
            <w:tcBorders>
              <w:bottom w:val="single" w:color="auto" w:sz="4" w:space="0"/>
            </w:tcBorders>
            <w:vAlign w:val="center"/>
          </w:tcPr>
          <w:p w14:paraId="7D2F5A5C">
            <w:pPr>
              <w:spacing w:line="400" w:lineRule="atLeast"/>
              <w:jc w:val="center"/>
              <w:rPr>
                <w:rFonts w:ascii="宋体" w:hAnsi="宋体" w:cs="宋体"/>
                <w:sz w:val="24"/>
              </w:rPr>
            </w:pPr>
            <w:r>
              <w:rPr>
                <w:rFonts w:hint="eastAsia" w:ascii="宋体" w:hAnsi="宋体" w:cs="宋体"/>
                <w:sz w:val="24"/>
              </w:rPr>
              <w:t>使用单位联系人电话</w:t>
            </w:r>
          </w:p>
        </w:tc>
        <w:tc>
          <w:tcPr>
            <w:tcW w:w="1803" w:type="dxa"/>
            <w:tcBorders>
              <w:bottom w:val="single" w:color="auto" w:sz="4" w:space="0"/>
            </w:tcBorders>
            <w:vAlign w:val="center"/>
          </w:tcPr>
          <w:p w14:paraId="539706C5">
            <w:pPr>
              <w:tabs>
                <w:tab w:val="left" w:pos="692"/>
              </w:tabs>
              <w:spacing w:line="400" w:lineRule="atLeast"/>
              <w:ind w:left="240" w:hanging="240" w:hangingChars="100"/>
              <w:jc w:val="center"/>
              <w:rPr>
                <w:rFonts w:ascii="宋体" w:hAnsi="宋体" w:cs="宋体"/>
                <w:b/>
                <w:sz w:val="24"/>
                <w:u w:val="thick"/>
              </w:rPr>
            </w:pPr>
            <w:r>
              <w:rPr>
                <w:rFonts w:hint="eastAsia" w:ascii="宋体" w:hAnsi="宋体" w:cs="宋体"/>
                <w:sz w:val="24"/>
              </w:rPr>
              <w:t>日期</w:t>
            </w:r>
          </w:p>
        </w:tc>
      </w:tr>
      <w:tr w14:paraId="7B968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772" w:type="dxa"/>
          </w:tcPr>
          <w:p w14:paraId="32126B12">
            <w:pPr>
              <w:spacing w:line="400" w:lineRule="atLeast"/>
              <w:jc w:val="center"/>
              <w:rPr>
                <w:rFonts w:ascii="宋体" w:hAnsi="宋体" w:cs="宋体"/>
                <w:sz w:val="24"/>
              </w:rPr>
            </w:pPr>
          </w:p>
        </w:tc>
        <w:tc>
          <w:tcPr>
            <w:tcW w:w="1608" w:type="dxa"/>
          </w:tcPr>
          <w:p w14:paraId="26BABB4F">
            <w:pPr>
              <w:spacing w:line="400" w:lineRule="atLeast"/>
              <w:jc w:val="center"/>
              <w:rPr>
                <w:rFonts w:ascii="宋体" w:hAnsi="宋体" w:cs="宋体"/>
                <w:sz w:val="24"/>
              </w:rPr>
            </w:pPr>
          </w:p>
        </w:tc>
        <w:tc>
          <w:tcPr>
            <w:tcW w:w="1675" w:type="dxa"/>
          </w:tcPr>
          <w:p w14:paraId="0469C88A">
            <w:pPr>
              <w:spacing w:line="400" w:lineRule="atLeast"/>
              <w:jc w:val="center"/>
              <w:rPr>
                <w:rFonts w:ascii="宋体" w:hAnsi="宋体" w:cs="宋体"/>
                <w:sz w:val="24"/>
              </w:rPr>
            </w:pPr>
          </w:p>
        </w:tc>
        <w:tc>
          <w:tcPr>
            <w:tcW w:w="1598" w:type="dxa"/>
          </w:tcPr>
          <w:p w14:paraId="5B96874F">
            <w:pPr>
              <w:spacing w:line="400" w:lineRule="atLeast"/>
              <w:jc w:val="center"/>
              <w:rPr>
                <w:rFonts w:ascii="宋体" w:hAnsi="宋体" w:cs="宋体"/>
                <w:sz w:val="24"/>
              </w:rPr>
            </w:pPr>
          </w:p>
        </w:tc>
        <w:tc>
          <w:tcPr>
            <w:tcW w:w="1803" w:type="dxa"/>
          </w:tcPr>
          <w:p w14:paraId="637BEA23">
            <w:pPr>
              <w:spacing w:line="400" w:lineRule="atLeast"/>
              <w:jc w:val="center"/>
              <w:rPr>
                <w:rFonts w:ascii="宋体" w:hAnsi="宋体" w:cs="宋体"/>
                <w:sz w:val="24"/>
              </w:rPr>
            </w:pPr>
          </w:p>
        </w:tc>
      </w:tr>
      <w:tr w14:paraId="1C8B1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772" w:type="dxa"/>
          </w:tcPr>
          <w:p w14:paraId="0DC63BAB">
            <w:pPr>
              <w:spacing w:line="400" w:lineRule="atLeast"/>
              <w:jc w:val="center"/>
              <w:rPr>
                <w:rFonts w:ascii="宋体" w:hAnsi="宋体" w:cs="宋体"/>
                <w:sz w:val="24"/>
              </w:rPr>
            </w:pPr>
          </w:p>
        </w:tc>
        <w:tc>
          <w:tcPr>
            <w:tcW w:w="1608" w:type="dxa"/>
          </w:tcPr>
          <w:p w14:paraId="795186DB">
            <w:pPr>
              <w:spacing w:line="400" w:lineRule="atLeast"/>
              <w:jc w:val="center"/>
              <w:rPr>
                <w:rFonts w:ascii="宋体" w:hAnsi="宋体" w:cs="宋体"/>
                <w:sz w:val="24"/>
              </w:rPr>
            </w:pPr>
          </w:p>
        </w:tc>
        <w:tc>
          <w:tcPr>
            <w:tcW w:w="1675" w:type="dxa"/>
          </w:tcPr>
          <w:p w14:paraId="3E5DD9D5">
            <w:pPr>
              <w:spacing w:line="400" w:lineRule="atLeast"/>
              <w:jc w:val="center"/>
              <w:rPr>
                <w:rFonts w:ascii="宋体" w:hAnsi="宋体" w:cs="宋体"/>
                <w:sz w:val="24"/>
              </w:rPr>
            </w:pPr>
          </w:p>
        </w:tc>
        <w:tc>
          <w:tcPr>
            <w:tcW w:w="1598" w:type="dxa"/>
          </w:tcPr>
          <w:p w14:paraId="3C3E059A">
            <w:pPr>
              <w:spacing w:line="400" w:lineRule="atLeast"/>
              <w:jc w:val="center"/>
              <w:rPr>
                <w:rFonts w:ascii="宋体" w:hAnsi="宋体" w:cs="宋体"/>
                <w:sz w:val="24"/>
              </w:rPr>
            </w:pPr>
          </w:p>
        </w:tc>
        <w:tc>
          <w:tcPr>
            <w:tcW w:w="1803" w:type="dxa"/>
          </w:tcPr>
          <w:p w14:paraId="06E24B7D">
            <w:pPr>
              <w:spacing w:line="400" w:lineRule="atLeast"/>
              <w:jc w:val="center"/>
              <w:rPr>
                <w:rFonts w:ascii="宋体" w:hAnsi="宋体" w:cs="宋体"/>
                <w:sz w:val="24"/>
              </w:rPr>
            </w:pPr>
          </w:p>
        </w:tc>
      </w:tr>
      <w:tr w14:paraId="10AB1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772" w:type="dxa"/>
          </w:tcPr>
          <w:p w14:paraId="695B99BE">
            <w:pPr>
              <w:spacing w:line="400" w:lineRule="atLeast"/>
              <w:jc w:val="center"/>
              <w:rPr>
                <w:rFonts w:ascii="宋体" w:hAnsi="宋体" w:cs="宋体"/>
                <w:sz w:val="24"/>
              </w:rPr>
            </w:pPr>
          </w:p>
        </w:tc>
        <w:tc>
          <w:tcPr>
            <w:tcW w:w="1608" w:type="dxa"/>
          </w:tcPr>
          <w:p w14:paraId="694E873D">
            <w:pPr>
              <w:spacing w:line="400" w:lineRule="atLeast"/>
              <w:jc w:val="center"/>
              <w:rPr>
                <w:rFonts w:ascii="宋体" w:hAnsi="宋体" w:cs="宋体"/>
                <w:sz w:val="24"/>
              </w:rPr>
            </w:pPr>
          </w:p>
        </w:tc>
        <w:tc>
          <w:tcPr>
            <w:tcW w:w="1675" w:type="dxa"/>
          </w:tcPr>
          <w:p w14:paraId="5302041B">
            <w:pPr>
              <w:spacing w:line="400" w:lineRule="atLeast"/>
              <w:jc w:val="center"/>
              <w:rPr>
                <w:rFonts w:ascii="宋体" w:hAnsi="宋体" w:cs="宋体"/>
                <w:sz w:val="24"/>
              </w:rPr>
            </w:pPr>
          </w:p>
        </w:tc>
        <w:tc>
          <w:tcPr>
            <w:tcW w:w="1598" w:type="dxa"/>
          </w:tcPr>
          <w:p w14:paraId="537AD2F5">
            <w:pPr>
              <w:spacing w:line="400" w:lineRule="atLeast"/>
              <w:jc w:val="center"/>
              <w:rPr>
                <w:rFonts w:ascii="宋体" w:hAnsi="宋体" w:cs="宋体"/>
                <w:sz w:val="24"/>
              </w:rPr>
            </w:pPr>
          </w:p>
        </w:tc>
        <w:tc>
          <w:tcPr>
            <w:tcW w:w="1803" w:type="dxa"/>
          </w:tcPr>
          <w:p w14:paraId="38321F39">
            <w:pPr>
              <w:spacing w:line="400" w:lineRule="atLeast"/>
              <w:jc w:val="center"/>
              <w:rPr>
                <w:rFonts w:ascii="宋体" w:hAnsi="宋体" w:cs="宋体"/>
                <w:sz w:val="24"/>
              </w:rPr>
            </w:pPr>
          </w:p>
        </w:tc>
      </w:tr>
      <w:tr w14:paraId="61DC1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772" w:type="dxa"/>
          </w:tcPr>
          <w:p w14:paraId="0DCA2224">
            <w:pPr>
              <w:spacing w:line="400" w:lineRule="atLeast"/>
              <w:jc w:val="center"/>
              <w:rPr>
                <w:rFonts w:ascii="宋体" w:hAnsi="宋体" w:cs="宋体"/>
                <w:sz w:val="24"/>
              </w:rPr>
            </w:pPr>
          </w:p>
        </w:tc>
        <w:tc>
          <w:tcPr>
            <w:tcW w:w="1608" w:type="dxa"/>
          </w:tcPr>
          <w:p w14:paraId="6FEA0726">
            <w:pPr>
              <w:spacing w:line="400" w:lineRule="atLeast"/>
              <w:jc w:val="center"/>
              <w:rPr>
                <w:rFonts w:ascii="宋体" w:hAnsi="宋体" w:cs="宋体"/>
                <w:sz w:val="24"/>
              </w:rPr>
            </w:pPr>
          </w:p>
        </w:tc>
        <w:tc>
          <w:tcPr>
            <w:tcW w:w="1675" w:type="dxa"/>
          </w:tcPr>
          <w:p w14:paraId="37BBD9EA">
            <w:pPr>
              <w:spacing w:line="400" w:lineRule="atLeast"/>
              <w:jc w:val="center"/>
              <w:rPr>
                <w:rFonts w:ascii="宋体" w:hAnsi="宋体" w:cs="宋体"/>
                <w:sz w:val="24"/>
              </w:rPr>
            </w:pPr>
          </w:p>
        </w:tc>
        <w:tc>
          <w:tcPr>
            <w:tcW w:w="1598" w:type="dxa"/>
          </w:tcPr>
          <w:p w14:paraId="49518239">
            <w:pPr>
              <w:spacing w:line="400" w:lineRule="atLeast"/>
              <w:jc w:val="center"/>
              <w:rPr>
                <w:rFonts w:ascii="宋体" w:hAnsi="宋体" w:cs="宋体"/>
                <w:sz w:val="24"/>
              </w:rPr>
            </w:pPr>
          </w:p>
        </w:tc>
        <w:tc>
          <w:tcPr>
            <w:tcW w:w="1803" w:type="dxa"/>
          </w:tcPr>
          <w:p w14:paraId="164F3FA2">
            <w:pPr>
              <w:spacing w:line="400" w:lineRule="atLeast"/>
              <w:jc w:val="center"/>
              <w:rPr>
                <w:rFonts w:ascii="宋体" w:hAnsi="宋体" w:cs="宋体"/>
                <w:sz w:val="24"/>
              </w:rPr>
            </w:pPr>
          </w:p>
        </w:tc>
      </w:tr>
      <w:tr w14:paraId="48794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772" w:type="dxa"/>
          </w:tcPr>
          <w:p w14:paraId="3AD14757">
            <w:pPr>
              <w:spacing w:line="400" w:lineRule="atLeast"/>
              <w:jc w:val="center"/>
              <w:rPr>
                <w:rFonts w:ascii="宋体" w:hAnsi="宋体" w:cs="宋体"/>
                <w:sz w:val="24"/>
              </w:rPr>
            </w:pPr>
          </w:p>
        </w:tc>
        <w:tc>
          <w:tcPr>
            <w:tcW w:w="1608" w:type="dxa"/>
          </w:tcPr>
          <w:p w14:paraId="15F9F743">
            <w:pPr>
              <w:spacing w:line="400" w:lineRule="atLeast"/>
              <w:jc w:val="center"/>
              <w:rPr>
                <w:rFonts w:ascii="宋体" w:hAnsi="宋体" w:cs="宋体"/>
                <w:sz w:val="24"/>
              </w:rPr>
            </w:pPr>
          </w:p>
        </w:tc>
        <w:tc>
          <w:tcPr>
            <w:tcW w:w="1675" w:type="dxa"/>
          </w:tcPr>
          <w:p w14:paraId="4C65C018">
            <w:pPr>
              <w:spacing w:line="400" w:lineRule="atLeast"/>
              <w:jc w:val="center"/>
              <w:rPr>
                <w:rFonts w:ascii="宋体" w:hAnsi="宋体" w:cs="宋体"/>
                <w:sz w:val="24"/>
              </w:rPr>
            </w:pPr>
          </w:p>
        </w:tc>
        <w:tc>
          <w:tcPr>
            <w:tcW w:w="1598" w:type="dxa"/>
          </w:tcPr>
          <w:p w14:paraId="6B732A64">
            <w:pPr>
              <w:spacing w:line="400" w:lineRule="atLeast"/>
              <w:jc w:val="center"/>
              <w:rPr>
                <w:rFonts w:ascii="宋体" w:hAnsi="宋体" w:cs="宋体"/>
                <w:sz w:val="24"/>
              </w:rPr>
            </w:pPr>
          </w:p>
        </w:tc>
        <w:tc>
          <w:tcPr>
            <w:tcW w:w="1803" w:type="dxa"/>
          </w:tcPr>
          <w:p w14:paraId="399E3B69">
            <w:pPr>
              <w:spacing w:line="400" w:lineRule="atLeast"/>
              <w:jc w:val="center"/>
              <w:rPr>
                <w:rFonts w:ascii="宋体" w:hAnsi="宋体" w:cs="宋体"/>
                <w:sz w:val="24"/>
              </w:rPr>
            </w:pPr>
          </w:p>
        </w:tc>
      </w:tr>
      <w:tr w14:paraId="546E2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772" w:type="dxa"/>
          </w:tcPr>
          <w:p w14:paraId="6E7D56D2">
            <w:pPr>
              <w:spacing w:line="400" w:lineRule="atLeast"/>
              <w:jc w:val="center"/>
              <w:rPr>
                <w:rFonts w:ascii="宋体" w:hAnsi="宋体" w:cs="宋体"/>
                <w:sz w:val="24"/>
              </w:rPr>
            </w:pPr>
          </w:p>
        </w:tc>
        <w:tc>
          <w:tcPr>
            <w:tcW w:w="1608" w:type="dxa"/>
          </w:tcPr>
          <w:p w14:paraId="11BF789A">
            <w:pPr>
              <w:spacing w:line="400" w:lineRule="atLeast"/>
              <w:jc w:val="center"/>
              <w:rPr>
                <w:rFonts w:ascii="宋体" w:hAnsi="宋体" w:cs="宋体"/>
                <w:sz w:val="24"/>
              </w:rPr>
            </w:pPr>
          </w:p>
        </w:tc>
        <w:tc>
          <w:tcPr>
            <w:tcW w:w="1675" w:type="dxa"/>
          </w:tcPr>
          <w:p w14:paraId="671FA0FF">
            <w:pPr>
              <w:spacing w:line="400" w:lineRule="atLeast"/>
              <w:jc w:val="center"/>
              <w:rPr>
                <w:rFonts w:ascii="宋体" w:hAnsi="宋体" w:cs="宋体"/>
                <w:sz w:val="24"/>
              </w:rPr>
            </w:pPr>
          </w:p>
        </w:tc>
        <w:tc>
          <w:tcPr>
            <w:tcW w:w="1598" w:type="dxa"/>
          </w:tcPr>
          <w:p w14:paraId="2F905D7E">
            <w:pPr>
              <w:spacing w:line="400" w:lineRule="atLeast"/>
              <w:jc w:val="center"/>
              <w:rPr>
                <w:rFonts w:ascii="宋体" w:hAnsi="宋体" w:cs="宋体"/>
                <w:sz w:val="24"/>
              </w:rPr>
            </w:pPr>
          </w:p>
        </w:tc>
        <w:tc>
          <w:tcPr>
            <w:tcW w:w="1803" w:type="dxa"/>
          </w:tcPr>
          <w:p w14:paraId="3A5AEF2E">
            <w:pPr>
              <w:spacing w:line="400" w:lineRule="atLeast"/>
              <w:jc w:val="center"/>
              <w:rPr>
                <w:rFonts w:ascii="宋体" w:hAnsi="宋体" w:cs="宋体"/>
                <w:sz w:val="24"/>
              </w:rPr>
            </w:pPr>
          </w:p>
        </w:tc>
      </w:tr>
      <w:tr w14:paraId="50670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772" w:type="dxa"/>
          </w:tcPr>
          <w:p w14:paraId="71722131">
            <w:pPr>
              <w:spacing w:line="400" w:lineRule="atLeast"/>
              <w:jc w:val="center"/>
              <w:rPr>
                <w:rFonts w:ascii="宋体" w:hAnsi="宋体" w:cs="宋体"/>
                <w:sz w:val="24"/>
              </w:rPr>
            </w:pPr>
          </w:p>
        </w:tc>
        <w:tc>
          <w:tcPr>
            <w:tcW w:w="1608" w:type="dxa"/>
          </w:tcPr>
          <w:p w14:paraId="309001A9">
            <w:pPr>
              <w:spacing w:line="400" w:lineRule="atLeast"/>
              <w:jc w:val="center"/>
              <w:rPr>
                <w:rFonts w:ascii="宋体" w:hAnsi="宋体" w:cs="宋体"/>
                <w:sz w:val="24"/>
              </w:rPr>
            </w:pPr>
          </w:p>
        </w:tc>
        <w:tc>
          <w:tcPr>
            <w:tcW w:w="1675" w:type="dxa"/>
          </w:tcPr>
          <w:p w14:paraId="01AD6895">
            <w:pPr>
              <w:spacing w:line="400" w:lineRule="atLeast"/>
              <w:jc w:val="center"/>
              <w:rPr>
                <w:rFonts w:ascii="宋体" w:hAnsi="宋体" w:cs="宋体"/>
                <w:sz w:val="24"/>
              </w:rPr>
            </w:pPr>
          </w:p>
        </w:tc>
        <w:tc>
          <w:tcPr>
            <w:tcW w:w="1598" w:type="dxa"/>
          </w:tcPr>
          <w:p w14:paraId="7644F44D">
            <w:pPr>
              <w:spacing w:line="400" w:lineRule="atLeast"/>
              <w:jc w:val="center"/>
              <w:rPr>
                <w:rFonts w:ascii="宋体" w:hAnsi="宋体" w:cs="宋体"/>
                <w:sz w:val="24"/>
              </w:rPr>
            </w:pPr>
          </w:p>
        </w:tc>
        <w:tc>
          <w:tcPr>
            <w:tcW w:w="1803" w:type="dxa"/>
          </w:tcPr>
          <w:p w14:paraId="768469B3">
            <w:pPr>
              <w:spacing w:line="400" w:lineRule="atLeast"/>
              <w:jc w:val="center"/>
              <w:rPr>
                <w:rFonts w:ascii="宋体" w:hAnsi="宋体" w:cs="宋体"/>
                <w:sz w:val="24"/>
              </w:rPr>
            </w:pPr>
          </w:p>
        </w:tc>
      </w:tr>
    </w:tbl>
    <w:p w14:paraId="3669E208">
      <w:pPr>
        <w:tabs>
          <w:tab w:val="left" w:pos="420"/>
          <w:tab w:val="left" w:pos="1260"/>
          <w:tab w:val="left" w:pos="5355"/>
        </w:tabs>
        <w:autoSpaceDE w:val="0"/>
        <w:autoSpaceDN w:val="0"/>
        <w:adjustRightInd w:val="0"/>
        <w:spacing w:line="430" w:lineRule="atLeast"/>
        <w:ind w:left="420"/>
        <w:rPr>
          <w:rFonts w:ascii="宋体" w:hAnsi="宋体" w:cs="新宋体"/>
          <w:kern w:val="0"/>
          <w:sz w:val="22"/>
          <w:szCs w:val="22"/>
        </w:rPr>
      </w:pPr>
      <w:r>
        <w:rPr>
          <w:rFonts w:hint="eastAsia" w:ascii="宋体" w:hAnsi="宋体" w:cs="新宋体"/>
          <w:kern w:val="0"/>
          <w:sz w:val="22"/>
          <w:szCs w:val="22"/>
        </w:rPr>
        <w:t>注：1.自2023年7月1日</w:t>
      </w:r>
      <w:r>
        <w:rPr>
          <w:rFonts w:hint="eastAsia" w:ascii="宋体" w:hAnsi="宋体" w:cs="新宋体"/>
          <w:b/>
          <w:bCs/>
          <w:kern w:val="0"/>
          <w:sz w:val="22"/>
          <w:szCs w:val="22"/>
        </w:rPr>
        <w:t>以来</w:t>
      </w:r>
      <w:r>
        <w:rPr>
          <w:rFonts w:hint="eastAsia" w:ascii="宋体" w:hAnsi="宋体" w:cs="新宋体"/>
          <w:kern w:val="0"/>
          <w:sz w:val="22"/>
          <w:szCs w:val="22"/>
        </w:rPr>
        <w:t>（以合同签订日期为准）额定起重量大于等于18吨的叉车或堆高机设备发动机国四排放标准改造业绩；</w:t>
      </w:r>
    </w:p>
    <w:p w14:paraId="4A790BFF">
      <w:pPr>
        <w:tabs>
          <w:tab w:val="left" w:pos="420"/>
          <w:tab w:val="left" w:pos="1260"/>
          <w:tab w:val="left" w:pos="5355"/>
        </w:tabs>
        <w:autoSpaceDE w:val="0"/>
        <w:autoSpaceDN w:val="0"/>
        <w:adjustRightInd w:val="0"/>
        <w:spacing w:line="430" w:lineRule="atLeast"/>
        <w:ind w:left="420"/>
        <w:rPr>
          <w:rFonts w:ascii="宋体" w:hAnsi="宋体" w:cs="新宋体"/>
          <w:kern w:val="0"/>
          <w:sz w:val="22"/>
          <w:szCs w:val="22"/>
          <w:lang w:val="zh-CN"/>
        </w:rPr>
      </w:pPr>
      <w:r>
        <w:rPr>
          <w:rFonts w:hint="eastAsia" w:ascii="宋体" w:hAnsi="宋体" w:cs="新宋体"/>
          <w:kern w:val="0"/>
          <w:sz w:val="22"/>
          <w:szCs w:val="22"/>
        </w:rPr>
        <w:t>2.需提供合同关键页复印件（包括合同首页、签字盖章页、合同金额、服务内容等相关合同内容）并加盖公章</w:t>
      </w:r>
      <w:r>
        <w:rPr>
          <w:rFonts w:hint="eastAsia" w:ascii="宋体" w:hAnsi="宋体" w:cs="新宋体"/>
          <w:kern w:val="0"/>
          <w:sz w:val="22"/>
          <w:szCs w:val="22"/>
          <w:lang w:val="zh-CN"/>
        </w:rPr>
        <w:t>；</w:t>
      </w:r>
    </w:p>
    <w:p w14:paraId="7C9403FD">
      <w:pPr>
        <w:jc w:val="left"/>
        <w:rPr>
          <w:rFonts w:ascii="新宋体" w:hAnsi="新宋体" w:eastAsia="新宋体"/>
          <w:b/>
          <w:bCs/>
          <w:kern w:val="0"/>
          <w:sz w:val="22"/>
          <w:szCs w:val="22"/>
        </w:rPr>
      </w:pPr>
    </w:p>
    <w:p w14:paraId="3DE6FED8">
      <w:pPr>
        <w:jc w:val="left"/>
        <w:rPr>
          <w:rFonts w:ascii="新宋体" w:hAnsi="新宋体" w:eastAsia="新宋体"/>
          <w:b/>
          <w:bCs/>
          <w:kern w:val="0"/>
          <w:sz w:val="22"/>
          <w:szCs w:val="22"/>
        </w:rPr>
      </w:pPr>
    </w:p>
    <w:p w14:paraId="529E239A">
      <w:pPr>
        <w:jc w:val="left"/>
        <w:rPr>
          <w:rFonts w:ascii="新宋体" w:hAnsi="新宋体" w:eastAsia="新宋体"/>
          <w:b/>
          <w:bCs/>
          <w:kern w:val="0"/>
          <w:sz w:val="22"/>
          <w:szCs w:val="22"/>
        </w:rPr>
      </w:pPr>
    </w:p>
    <w:p w14:paraId="3656DFB0">
      <w:pPr>
        <w:spacing w:line="380" w:lineRule="exact"/>
        <w:rPr>
          <w:rFonts w:ascii="宋体" w:hAnsi="宋体" w:cs="宋体"/>
          <w:sz w:val="22"/>
          <w:szCs w:val="22"/>
        </w:rPr>
      </w:pPr>
      <w:r>
        <w:rPr>
          <w:rFonts w:hint="eastAsia" w:ascii="新宋体" w:hAnsi="新宋体" w:eastAsia="新宋体"/>
          <w:sz w:val="22"/>
          <w:szCs w:val="22"/>
        </w:rPr>
        <w:t>投标人全称（加盖单位公章）</w:t>
      </w:r>
      <w:r>
        <w:rPr>
          <w:rFonts w:hint="eastAsia" w:ascii="宋体" w:hAnsi="宋体" w:cs="宋体"/>
          <w:sz w:val="22"/>
          <w:szCs w:val="22"/>
        </w:rPr>
        <w:t>：</w:t>
      </w:r>
    </w:p>
    <w:p w14:paraId="319E37CD">
      <w:pPr>
        <w:spacing w:line="380" w:lineRule="exact"/>
        <w:rPr>
          <w:rFonts w:ascii="宋体" w:hAnsi="宋体" w:cs="宋体"/>
          <w:sz w:val="22"/>
          <w:szCs w:val="22"/>
        </w:rPr>
      </w:pPr>
      <w:r>
        <w:rPr>
          <w:rFonts w:hint="eastAsia" w:ascii="宋体" w:hAnsi="宋体" w:cs="宋体"/>
          <w:sz w:val="22"/>
          <w:szCs w:val="22"/>
        </w:rPr>
        <w:t>法定代表人或授权代表（签字或盖章）：</w:t>
      </w:r>
    </w:p>
    <w:p w14:paraId="0D9F355A">
      <w:pPr>
        <w:spacing w:line="380" w:lineRule="exact"/>
        <w:rPr>
          <w:rFonts w:ascii="宋体" w:hAnsi="宋体" w:cs="宋体"/>
          <w:sz w:val="22"/>
          <w:szCs w:val="22"/>
        </w:rPr>
      </w:pPr>
      <w:r>
        <w:rPr>
          <w:rFonts w:hint="eastAsia" w:ascii="宋体" w:hAnsi="宋体" w:cs="宋体"/>
          <w:sz w:val="22"/>
          <w:szCs w:val="22"/>
        </w:rPr>
        <w:t>日 期：  年  月  日</w:t>
      </w:r>
    </w:p>
    <w:p w14:paraId="4A40E10A">
      <w:pPr>
        <w:rPr>
          <w:rFonts w:ascii="宋体" w:hAnsi="宋体"/>
          <w:color w:val="000000"/>
          <w:sz w:val="28"/>
          <w:szCs w:val="28"/>
        </w:rPr>
      </w:pPr>
    </w:p>
    <w:p w14:paraId="6B0E55BC">
      <w:pPr>
        <w:rPr>
          <w:rFonts w:ascii="宋体" w:hAnsi="宋体"/>
          <w:color w:val="000000"/>
          <w:sz w:val="28"/>
          <w:szCs w:val="28"/>
        </w:rPr>
      </w:pPr>
      <w:r>
        <w:rPr>
          <w:rFonts w:hint="eastAsia" w:ascii="宋体" w:hAnsi="宋体"/>
          <w:color w:val="000000"/>
          <w:sz w:val="28"/>
          <w:szCs w:val="28"/>
        </w:rPr>
        <w:br w:type="page"/>
      </w:r>
      <w:r>
        <w:rPr>
          <w:rFonts w:hint="eastAsia" w:ascii="宋体" w:hAnsi="宋体"/>
          <w:color w:val="000000"/>
          <w:sz w:val="28"/>
          <w:szCs w:val="28"/>
        </w:rPr>
        <w:t>附件五</w:t>
      </w:r>
    </w:p>
    <w:p w14:paraId="5E7FFED0">
      <w:pPr>
        <w:snapToGrid w:val="0"/>
        <w:spacing w:before="156" w:beforeLines="50" w:after="50" w:line="360" w:lineRule="auto"/>
        <w:jc w:val="center"/>
        <w:outlineLvl w:val="2"/>
        <w:rPr>
          <w:rFonts w:ascii="宋体" w:hAnsi="宋体"/>
          <w:b/>
          <w:color w:val="000000"/>
          <w:sz w:val="22"/>
          <w:szCs w:val="22"/>
        </w:rPr>
      </w:pPr>
      <w:bookmarkStart w:id="83" w:name="_Toc12895"/>
      <w:r>
        <w:rPr>
          <w:rFonts w:hint="eastAsia" w:ascii="宋体" w:hAnsi="宋体"/>
          <w:b/>
          <w:color w:val="000000"/>
          <w:sz w:val="22"/>
          <w:szCs w:val="22"/>
        </w:rPr>
        <w:t>投标人基本情况表</w:t>
      </w:r>
      <w:bookmarkEnd w:id="83"/>
    </w:p>
    <w:tbl>
      <w:tblPr>
        <w:tblStyle w:val="28"/>
        <w:tblW w:w="9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974"/>
        <w:gridCol w:w="309"/>
        <w:gridCol w:w="1352"/>
        <w:gridCol w:w="1012"/>
        <w:gridCol w:w="349"/>
        <w:gridCol w:w="1074"/>
        <w:gridCol w:w="179"/>
        <w:gridCol w:w="352"/>
        <w:gridCol w:w="285"/>
        <w:gridCol w:w="1975"/>
      </w:tblGrid>
      <w:tr w14:paraId="1457C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Align w:val="center"/>
          </w:tcPr>
          <w:p w14:paraId="77083409">
            <w:pPr>
              <w:spacing w:line="360" w:lineRule="auto"/>
              <w:jc w:val="center"/>
              <w:rPr>
                <w:rFonts w:ascii="宋体" w:hAnsi="宋体"/>
                <w:color w:val="000000"/>
                <w:sz w:val="22"/>
                <w:szCs w:val="22"/>
              </w:rPr>
            </w:pPr>
            <w:r>
              <w:rPr>
                <w:rFonts w:hint="eastAsia" w:ascii="宋体" w:hAnsi="宋体"/>
                <w:color w:val="000000"/>
                <w:sz w:val="22"/>
                <w:szCs w:val="22"/>
              </w:rPr>
              <w:t>申请人名称</w:t>
            </w:r>
          </w:p>
        </w:tc>
        <w:tc>
          <w:tcPr>
            <w:tcW w:w="7861" w:type="dxa"/>
            <w:gridSpan w:val="10"/>
            <w:vAlign w:val="center"/>
          </w:tcPr>
          <w:p w14:paraId="2702C03D">
            <w:pPr>
              <w:spacing w:line="360" w:lineRule="auto"/>
              <w:jc w:val="center"/>
              <w:rPr>
                <w:rFonts w:ascii="宋体" w:hAnsi="宋体"/>
                <w:color w:val="000000"/>
                <w:sz w:val="22"/>
                <w:szCs w:val="22"/>
              </w:rPr>
            </w:pPr>
          </w:p>
        </w:tc>
      </w:tr>
      <w:tr w14:paraId="0CFBF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Align w:val="center"/>
          </w:tcPr>
          <w:p w14:paraId="5125575A">
            <w:pPr>
              <w:spacing w:line="360" w:lineRule="auto"/>
              <w:jc w:val="center"/>
              <w:rPr>
                <w:rFonts w:ascii="宋体" w:hAnsi="宋体"/>
                <w:color w:val="000000"/>
                <w:sz w:val="22"/>
                <w:szCs w:val="22"/>
              </w:rPr>
            </w:pPr>
            <w:r>
              <w:rPr>
                <w:rFonts w:hint="eastAsia" w:ascii="宋体" w:hAnsi="宋体"/>
                <w:color w:val="000000"/>
                <w:sz w:val="22"/>
                <w:szCs w:val="22"/>
              </w:rPr>
              <w:t>注册地址</w:t>
            </w:r>
          </w:p>
        </w:tc>
        <w:tc>
          <w:tcPr>
            <w:tcW w:w="3647" w:type="dxa"/>
            <w:gridSpan w:val="4"/>
            <w:vAlign w:val="center"/>
          </w:tcPr>
          <w:p w14:paraId="0775B4BD">
            <w:pPr>
              <w:spacing w:line="360" w:lineRule="auto"/>
              <w:jc w:val="center"/>
              <w:rPr>
                <w:rFonts w:ascii="宋体" w:hAnsi="宋体"/>
                <w:color w:val="000000"/>
                <w:sz w:val="22"/>
                <w:szCs w:val="22"/>
              </w:rPr>
            </w:pPr>
          </w:p>
        </w:tc>
        <w:tc>
          <w:tcPr>
            <w:tcW w:w="1602" w:type="dxa"/>
            <w:gridSpan w:val="3"/>
            <w:vAlign w:val="center"/>
          </w:tcPr>
          <w:p w14:paraId="6AEFC46E">
            <w:pPr>
              <w:spacing w:line="360" w:lineRule="auto"/>
              <w:jc w:val="center"/>
              <w:rPr>
                <w:rFonts w:ascii="宋体" w:hAnsi="宋体"/>
                <w:color w:val="000000"/>
                <w:sz w:val="22"/>
                <w:szCs w:val="22"/>
              </w:rPr>
            </w:pPr>
            <w:r>
              <w:rPr>
                <w:rFonts w:hint="eastAsia" w:ascii="宋体" w:hAnsi="宋体"/>
                <w:color w:val="000000"/>
                <w:sz w:val="22"/>
                <w:szCs w:val="22"/>
              </w:rPr>
              <w:t>邮政编码</w:t>
            </w:r>
          </w:p>
        </w:tc>
        <w:tc>
          <w:tcPr>
            <w:tcW w:w="2612" w:type="dxa"/>
            <w:gridSpan w:val="3"/>
            <w:vAlign w:val="center"/>
          </w:tcPr>
          <w:p w14:paraId="044219F0">
            <w:pPr>
              <w:spacing w:line="360" w:lineRule="auto"/>
              <w:jc w:val="center"/>
              <w:rPr>
                <w:rFonts w:ascii="宋体" w:hAnsi="宋体"/>
                <w:color w:val="000000"/>
                <w:sz w:val="22"/>
                <w:szCs w:val="22"/>
              </w:rPr>
            </w:pPr>
          </w:p>
        </w:tc>
      </w:tr>
      <w:tr w14:paraId="680CA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Merge w:val="restart"/>
            <w:vAlign w:val="center"/>
          </w:tcPr>
          <w:p w14:paraId="50B3831E">
            <w:pPr>
              <w:spacing w:line="360" w:lineRule="auto"/>
              <w:jc w:val="center"/>
              <w:rPr>
                <w:rFonts w:ascii="宋体" w:hAnsi="宋体"/>
                <w:color w:val="000000"/>
                <w:sz w:val="22"/>
                <w:szCs w:val="22"/>
              </w:rPr>
            </w:pPr>
            <w:r>
              <w:rPr>
                <w:rFonts w:hint="eastAsia" w:ascii="宋体" w:hAnsi="宋体"/>
                <w:color w:val="000000"/>
                <w:sz w:val="22"/>
                <w:szCs w:val="22"/>
              </w:rPr>
              <w:t>联系方式</w:t>
            </w:r>
          </w:p>
        </w:tc>
        <w:tc>
          <w:tcPr>
            <w:tcW w:w="1283" w:type="dxa"/>
            <w:gridSpan w:val="2"/>
            <w:vAlign w:val="center"/>
          </w:tcPr>
          <w:p w14:paraId="424DCFEC">
            <w:pPr>
              <w:spacing w:line="360" w:lineRule="auto"/>
              <w:jc w:val="center"/>
              <w:rPr>
                <w:rFonts w:ascii="宋体" w:hAnsi="宋体"/>
                <w:color w:val="000000"/>
                <w:sz w:val="22"/>
                <w:szCs w:val="22"/>
              </w:rPr>
            </w:pPr>
            <w:r>
              <w:rPr>
                <w:rFonts w:hint="eastAsia" w:ascii="宋体" w:hAnsi="宋体"/>
                <w:color w:val="000000"/>
                <w:sz w:val="22"/>
                <w:szCs w:val="22"/>
              </w:rPr>
              <w:t>联系人</w:t>
            </w:r>
          </w:p>
        </w:tc>
        <w:tc>
          <w:tcPr>
            <w:tcW w:w="2364" w:type="dxa"/>
            <w:gridSpan w:val="2"/>
            <w:vAlign w:val="center"/>
          </w:tcPr>
          <w:p w14:paraId="332A3A41">
            <w:pPr>
              <w:spacing w:line="360" w:lineRule="auto"/>
              <w:jc w:val="center"/>
              <w:rPr>
                <w:rFonts w:ascii="宋体" w:hAnsi="宋体"/>
                <w:color w:val="000000"/>
                <w:sz w:val="22"/>
                <w:szCs w:val="22"/>
              </w:rPr>
            </w:pPr>
          </w:p>
        </w:tc>
        <w:tc>
          <w:tcPr>
            <w:tcW w:w="1602" w:type="dxa"/>
            <w:gridSpan w:val="3"/>
            <w:vAlign w:val="center"/>
          </w:tcPr>
          <w:p w14:paraId="7FCB89C0">
            <w:pPr>
              <w:spacing w:line="360" w:lineRule="auto"/>
              <w:jc w:val="center"/>
              <w:rPr>
                <w:rFonts w:ascii="宋体" w:hAnsi="宋体"/>
                <w:color w:val="000000"/>
                <w:sz w:val="22"/>
                <w:szCs w:val="22"/>
              </w:rPr>
            </w:pPr>
            <w:r>
              <w:rPr>
                <w:rFonts w:hint="eastAsia" w:ascii="宋体" w:hAnsi="宋体"/>
                <w:color w:val="000000"/>
                <w:sz w:val="22"/>
                <w:szCs w:val="22"/>
              </w:rPr>
              <w:t>电话</w:t>
            </w:r>
          </w:p>
        </w:tc>
        <w:tc>
          <w:tcPr>
            <w:tcW w:w="2612" w:type="dxa"/>
            <w:gridSpan w:val="3"/>
            <w:vAlign w:val="center"/>
          </w:tcPr>
          <w:p w14:paraId="702596BC">
            <w:pPr>
              <w:spacing w:line="360" w:lineRule="auto"/>
              <w:jc w:val="center"/>
              <w:rPr>
                <w:rFonts w:ascii="宋体" w:hAnsi="宋体"/>
                <w:color w:val="000000"/>
                <w:sz w:val="22"/>
                <w:szCs w:val="22"/>
              </w:rPr>
            </w:pPr>
          </w:p>
        </w:tc>
      </w:tr>
      <w:tr w14:paraId="7A898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Merge w:val="continue"/>
            <w:vAlign w:val="center"/>
          </w:tcPr>
          <w:p w14:paraId="6075BCC9">
            <w:pPr>
              <w:spacing w:line="360" w:lineRule="auto"/>
              <w:jc w:val="center"/>
              <w:rPr>
                <w:rFonts w:ascii="宋体" w:hAnsi="宋体"/>
                <w:color w:val="000000"/>
                <w:sz w:val="22"/>
                <w:szCs w:val="22"/>
              </w:rPr>
            </w:pPr>
          </w:p>
        </w:tc>
        <w:tc>
          <w:tcPr>
            <w:tcW w:w="1283" w:type="dxa"/>
            <w:gridSpan w:val="2"/>
            <w:vAlign w:val="center"/>
          </w:tcPr>
          <w:p w14:paraId="740BED75">
            <w:pPr>
              <w:spacing w:line="360" w:lineRule="auto"/>
              <w:jc w:val="center"/>
              <w:rPr>
                <w:rFonts w:ascii="宋体" w:hAnsi="宋体"/>
                <w:color w:val="000000"/>
                <w:sz w:val="22"/>
                <w:szCs w:val="22"/>
              </w:rPr>
            </w:pPr>
            <w:r>
              <w:rPr>
                <w:rFonts w:hint="eastAsia" w:ascii="宋体" w:hAnsi="宋体"/>
                <w:color w:val="000000"/>
                <w:sz w:val="22"/>
                <w:szCs w:val="22"/>
              </w:rPr>
              <w:t>传真</w:t>
            </w:r>
          </w:p>
        </w:tc>
        <w:tc>
          <w:tcPr>
            <w:tcW w:w="2364" w:type="dxa"/>
            <w:gridSpan w:val="2"/>
            <w:vAlign w:val="center"/>
          </w:tcPr>
          <w:p w14:paraId="7696C098">
            <w:pPr>
              <w:spacing w:line="360" w:lineRule="auto"/>
              <w:jc w:val="center"/>
              <w:rPr>
                <w:rFonts w:ascii="宋体" w:hAnsi="宋体"/>
                <w:color w:val="000000"/>
                <w:sz w:val="22"/>
                <w:szCs w:val="22"/>
              </w:rPr>
            </w:pPr>
          </w:p>
        </w:tc>
        <w:tc>
          <w:tcPr>
            <w:tcW w:w="1602" w:type="dxa"/>
            <w:gridSpan w:val="3"/>
            <w:vAlign w:val="center"/>
          </w:tcPr>
          <w:p w14:paraId="1AA19772">
            <w:pPr>
              <w:spacing w:line="360" w:lineRule="auto"/>
              <w:jc w:val="center"/>
              <w:rPr>
                <w:rFonts w:ascii="宋体" w:hAnsi="宋体"/>
                <w:color w:val="000000"/>
                <w:sz w:val="22"/>
                <w:szCs w:val="22"/>
              </w:rPr>
            </w:pPr>
            <w:r>
              <w:rPr>
                <w:rFonts w:hint="eastAsia" w:ascii="宋体" w:hAnsi="宋体"/>
                <w:color w:val="000000"/>
                <w:sz w:val="22"/>
                <w:szCs w:val="22"/>
              </w:rPr>
              <w:t>网址</w:t>
            </w:r>
          </w:p>
        </w:tc>
        <w:tc>
          <w:tcPr>
            <w:tcW w:w="2612" w:type="dxa"/>
            <w:gridSpan w:val="3"/>
            <w:vAlign w:val="center"/>
          </w:tcPr>
          <w:p w14:paraId="6CEFE0CC">
            <w:pPr>
              <w:spacing w:line="360" w:lineRule="auto"/>
              <w:jc w:val="center"/>
              <w:rPr>
                <w:rFonts w:ascii="宋体" w:hAnsi="宋体"/>
                <w:color w:val="000000"/>
                <w:sz w:val="22"/>
                <w:szCs w:val="22"/>
              </w:rPr>
            </w:pPr>
          </w:p>
        </w:tc>
      </w:tr>
      <w:tr w14:paraId="523A8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Align w:val="center"/>
          </w:tcPr>
          <w:p w14:paraId="31930E85">
            <w:pPr>
              <w:spacing w:line="360" w:lineRule="auto"/>
              <w:jc w:val="center"/>
              <w:rPr>
                <w:rFonts w:ascii="宋体" w:hAnsi="宋体"/>
                <w:color w:val="000000"/>
                <w:sz w:val="22"/>
                <w:szCs w:val="22"/>
              </w:rPr>
            </w:pPr>
            <w:r>
              <w:rPr>
                <w:rFonts w:hint="eastAsia" w:ascii="宋体" w:hAnsi="宋体"/>
                <w:color w:val="000000"/>
                <w:sz w:val="22"/>
                <w:szCs w:val="22"/>
              </w:rPr>
              <w:t>组织结构</w:t>
            </w:r>
          </w:p>
        </w:tc>
        <w:tc>
          <w:tcPr>
            <w:tcW w:w="7861" w:type="dxa"/>
            <w:gridSpan w:val="10"/>
            <w:vAlign w:val="center"/>
          </w:tcPr>
          <w:p w14:paraId="2D579E48">
            <w:pPr>
              <w:spacing w:line="360" w:lineRule="auto"/>
              <w:jc w:val="center"/>
              <w:rPr>
                <w:rFonts w:ascii="宋体" w:hAnsi="宋体"/>
                <w:color w:val="000000"/>
                <w:sz w:val="22"/>
                <w:szCs w:val="22"/>
              </w:rPr>
            </w:pPr>
          </w:p>
        </w:tc>
      </w:tr>
      <w:tr w14:paraId="35344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Align w:val="center"/>
          </w:tcPr>
          <w:p w14:paraId="4DAA46AE">
            <w:pPr>
              <w:spacing w:line="360" w:lineRule="auto"/>
              <w:jc w:val="center"/>
              <w:rPr>
                <w:rFonts w:ascii="宋体" w:hAnsi="宋体"/>
                <w:color w:val="000000"/>
                <w:sz w:val="22"/>
                <w:szCs w:val="22"/>
              </w:rPr>
            </w:pPr>
            <w:r>
              <w:rPr>
                <w:rFonts w:hint="eastAsia" w:ascii="宋体" w:hAnsi="宋体"/>
                <w:color w:val="000000"/>
                <w:sz w:val="22"/>
                <w:szCs w:val="22"/>
              </w:rPr>
              <w:t>法定代表人</w:t>
            </w:r>
          </w:p>
        </w:tc>
        <w:tc>
          <w:tcPr>
            <w:tcW w:w="974" w:type="dxa"/>
            <w:vAlign w:val="center"/>
          </w:tcPr>
          <w:p w14:paraId="1222ACF9">
            <w:pPr>
              <w:spacing w:line="360" w:lineRule="auto"/>
              <w:jc w:val="center"/>
              <w:rPr>
                <w:rFonts w:ascii="宋体" w:hAnsi="宋体"/>
                <w:color w:val="000000"/>
                <w:sz w:val="22"/>
                <w:szCs w:val="22"/>
              </w:rPr>
            </w:pPr>
            <w:r>
              <w:rPr>
                <w:rFonts w:hint="eastAsia" w:ascii="宋体" w:hAnsi="宋体"/>
                <w:color w:val="000000"/>
                <w:sz w:val="22"/>
                <w:szCs w:val="22"/>
              </w:rPr>
              <w:t>姓名</w:t>
            </w:r>
          </w:p>
        </w:tc>
        <w:tc>
          <w:tcPr>
            <w:tcW w:w="1661" w:type="dxa"/>
            <w:gridSpan w:val="2"/>
            <w:vAlign w:val="center"/>
          </w:tcPr>
          <w:p w14:paraId="04660037">
            <w:pPr>
              <w:spacing w:line="360" w:lineRule="auto"/>
              <w:jc w:val="center"/>
              <w:rPr>
                <w:rFonts w:ascii="宋体" w:hAnsi="宋体"/>
                <w:color w:val="000000"/>
                <w:sz w:val="22"/>
                <w:szCs w:val="22"/>
              </w:rPr>
            </w:pPr>
          </w:p>
        </w:tc>
        <w:tc>
          <w:tcPr>
            <w:tcW w:w="1361" w:type="dxa"/>
            <w:gridSpan w:val="2"/>
            <w:vAlign w:val="center"/>
          </w:tcPr>
          <w:p w14:paraId="0107A8E0">
            <w:pPr>
              <w:spacing w:line="360" w:lineRule="auto"/>
              <w:jc w:val="center"/>
              <w:rPr>
                <w:rFonts w:ascii="宋体" w:hAnsi="宋体"/>
                <w:color w:val="000000"/>
                <w:sz w:val="22"/>
                <w:szCs w:val="22"/>
              </w:rPr>
            </w:pPr>
            <w:r>
              <w:rPr>
                <w:rFonts w:hint="eastAsia" w:ascii="宋体" w:hAnsi="宋体"/>
                <w:color w:val="000000"/>
                <w:sz w:val="22"/>
                <w:szCs w:val="22"/>
              </w:rPr>
              <w:t>技术职称</w:t>
            </w:r>
          </w:p>
        </w:tc>
        <w:tc>
          <w:tcPr>
            <w:tcW w:w="1074" w:type="dxa"/>
            <w:vAlign w:val="center"/>
          </w:tcPr>
          <w:p w14:paraId="686738F4">
            <w:pPr>
              <w:spacing w:line="360" w:lineRule="auto"/>
              <w:jc w:val="center"/>
              <w:rPr>
                <w:rFonts w:ascii="宋体" w:hAnsi="宋体"/>
                <w:color w:val="000000"/>
                <w:sz w:val="22"/>
                <w:szCs w:val="22"/>
              </w:rPr>
            </w:pPr>
          </w:p>
        </w:tc>
        <w:tc>
          <w:tcPr>
            <w:tcW w:w="816" w:type="dxa"/>
            <w:gridSpan w:val="3"/>
            <w:vAlign w:val="center"/>
          </w:tcPr>
          <w:p w14:paraId="7F14CDE1">
            <w:pPr>
              <w:spacing w:line="360" w:lineRule="auto"/>
              <w:jc w:val="center"/>
              <w:rPr>
                <w:rFonts w:ascii="宋体" w:hAnsi="宋体"/>
                <w:color w:val="000000"/>
                <w:sz w:val="22"/>
                <w:szCs w:val="22"/>
              </w:rPr>
            </w:pPr>
            <w:r>
              <w:rPr>
                <w:rFonts w:hint="eastAsia" w:ascii="宋体" w:hAnsi="宋体"/>
                <w:color w:val="000000"/>
                <w:sz w:val="22"/>
                <w:szCs w:val="22"/>
              </w:rPr>
              <w:t>电话</w:t>
            </w:r>
          </w:p>
        </w:tc>
        <w:tc>
          <w:tcPr>
            <w:tcW w:w="1975" w:type="dxa"/>
            <w:vAlign w:val="center"/>
          </w:tcPr>
          <w:p w14:paraId="0C6D0A17">
            <w:pPr>
              <w:spacing w:line="360" w:lineRule="auto"/>
              <w:jc w:val="center"/>
              <w:rPr>
                <w:rFonts w:ascii="宋体" w:hAnsi="宋体"/>
                <w:color w:val="000000"/>
                <w:sz w:val="22"/>
                <w:szCs w:val="22"/>
              </w:rPr>
            </w:pPr>
          </w:p>
        </w:tc>
      </w:tr>
      <w:tr w14:paraId="495EF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Align w:val="center"/>
          </w:tcPr>
          <w:p w14:paraId="0C1A6745">
            <w:pPr>
              <w:spacing w:line="360" w:lineRule="auto"/>
              <w:jc w:val="center"/>
              <w:rPr>
                <w:rFonts w:ascii="宋体" w:hAnsi="宋体"/>
                <w:color w:val="000000"/>
                <w:sz w:val="22"/>
                <w:szCs w:val="22"/>
              </w:rPr>
            </w:pPr>
            <w:r>
              <w:rPr>
                <w:rFonts w:hint="eastAsia" w:ascii="宋体" w:hAnsi="宋体"/>
                <w:color w:val="000000"/>
                <w:sz w:val="22"/>
                <w:szCs w:val="22"/>
              </w:rPr>
              <w:t>技术负责人</w:t>
            </w:r>
          </w:p>
        </w:tc>
        <w:tc>
          <w:tcPr>
            <w:tcW w:w="974" w:type="dxa"/>
            <w:vAlign w:val="center"/>
          </w:tcPr>
          <w:p w14:paraId="6DE5DFB5">
            <w:pPr>
              <w:spacing w:line="360" w:lineRule="auto"/>
              <w:jc w:val="center"/>
              <w:rPr>
                <w:rFonts w:ascii="宋体" w:hAnsi="宋体"/>
                <w:color w:val="000000"/>
                <w:sz w:val="22"/>
                <w:szCs w:val="22"/>
              </w:rPr>
            </w:pPr>
            <w:r>
              <w:rPr>
                <w:rFonts w:hint="eastAsia" w:ascii="宋体" w:hAnsi="宋体"/>
                <w:color w:val="000000"/>
                <w:sz w:val="22"/>
                <w:szCs w:val="22"/>
              </w:rPr>
              <w:t>姓名</w:t>
            </w:r>
          </w:p>
        </w:tc>
        <w:tc>
          <w:tcPr>
            <w:tcW w:w="1661" w:type="dxa"/>
            <w:gridSpan w:val="2"/>
            <w:vAlign w:val="center"/>
          </w:tcPr>
          <w:p w14:paraId="07B51E51">
            <w:pPr>
              <w:spacing w:line="360" w:lineRule="auto"/>
              <w:jc w:val="center"/>
              <w:rPr>
                <w:rFonts w:ascii="宋体" w:hAnsi="宋体"/>
                <w:color w:val="000000"/>
                <w:sz w:val="22"/>
                <w:szCs w:val="22"/>
              </w:rPr>
            </w:pPr>
          </w:p>
        </w:tc>
        <w:tc>
          <w:tcPr>
            <w:tcW w:w="1361" w:type="dxa"/>
            <w:gridSpan w:val="2"/>
            <w:vAlign w:val="center"/>
          </w:tcPr>
          <w:p w14:paraId="02068EFE">
            <w:pPr>
              <w:spacing w:line="360" w:lineRule="auto"/>
              <w:jc w:val="center"/>
              <w:rPr>
                <w:rFonts w:ascii="宋体" w:hAnsi="宋体"/>
                <w:color w:val="000000"/>
                <w:sz w:val="22"/>
                <w:szCs w:val="22"/>
              </w:rPr>
            </w:pPr>
            <w:r>
              <w:rPr>
                <w:rFonts w:hint="eastAsia" w:ascii="宋体" w:hAnsi="宋体"/>
                <w:color w:val="000000"/>
                <w:sz w:val="22"/>
                <w:szCs w:val="22"/>
              </w:rPr>
              <w:t>技术职称</w:t>
            </w:r>
          </w:p>
        </w:tc>
        <w:tc>
          <w:tcPr>
            <w:tcW w:w="1074" w:type="dxa"/>
            <w:vAlign w:val="center"/>
          </w:tcPr>
          <w:p w14:paraId="7BF8A541">
            <w:pPr>
              <w:spacing w:line="360" w:lineRule="auto"/>
              <w:jc w:val="center"/>
              <w:rPr>
                <w:rFonts w:ascii="宋体" w:hAnsi="宋体"/>
                <w:color w:val="000000"/>
                <w:sz w:val="22"/>
                <w:szCs w:val="22"/>
              </w:rPr>
            </w:pPr>
          </w:p>
        </w:tc>
        <w:tc>
          <w:tcPr>
            <w:tcW w:w="816" w:type="dxa"/>
            <w:gridSpan w:val="3"/>
            <w:vAlign w:val="center"/>
          </w:tcPr>
          <w:p w14:paraId="0D1F0704">
            <w:pPr>
              <w:spacing w:line="360" w:lineRule="auto"/>
              <w:jc w:val="center"/>
              <w:rPr>
                <w:rFonts w:ascii="宋体" w:hAnsi="宋体"/>
                <w:color w:val="000000"/>
                <w:sz w:val="22"/>
                <w:szCs w:val="22"/>
              </w:rPr>
            </w:pPr>
            <w:r>
              <w:rPr>
                <w:rFonts w:hint="eastAsia" w:ascii="宋体" w:hAnsi="宋体"/>
                <w:color w:val="000000"/>
                <w:sz w:val="22"/>
                <w:szCs w:val="22"/>
              </w:rPr>
              <w:t>电话</w:t>
            </w:r>
          </w:p>
        </w:tc>
        <w:tc>
          <w:tcPr>
            <w:tcW w:w="1975" w:type="dxa"/>
            <w:vAlign w:val="center"/>
          </w:tcPr>
          <w:p w14:paraId="2653F1A7">
            <w:pPr>
              <w:spacing w:line="360" w:lineRule="auto"/>
              <w:jc w:val="center"/>
              <w:rPr>
                <w:rFonts w:ascii="宋体" w:hAnsi="宋体"/>
                <w:color w:val="000000"/>
                <w:sz w:val="22"/>
                <w:szCs w:val="22"/>
              </w:rPr>
            </w:pPr>
          </w:p>
        </w:tc>
      </w:tr>
      <w:tr w14:paraId="59443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Align w:val="center"/>
          </w:tcPr>
          <w:p w14:paraId="451B9AF2">
            <w:pPr>
              <w:spacing w:line="360" w:lineRule="auto"/>
              <w:jc w:val="center"/>
              <w:rPr>
                <w:rFonts w:ascii="宋体" w:hAnsi="宋体"/>
                <w:color w:val="000000"/>
                <w:sz w:val="22"/>
                <w:szCs w:val="22"/>
              </w:rPr>
            </w:pPr>
            <w:r>
              <w:rPr>
                <w:rFonts w:hint="eastAsia" w:ascii="宋体" w:hAnsi="宋体"/>
                <w:color w:val="000000"/>
                <w:sz w:val="22"/>
                <w:szCs w:val="22"/>
              </w:rPr>
              <w:t>成立时间</w:t>
            </w:r>
          </w:p>
        </w:tc>
        <w:tc>
          <w:tcPr>
            <w:tcW w:w="2635" w:type="dxa"/>
            <w:gridSpan w:val="3"/>
            <w:vAlign w:val="center"/>
          </w:tcPr>
          <w:p w14:paraId="54B61D60">
            <w:pPr>
              <w:spacing w:line="360" w:lineRule="auto"/>
              <w:jc w:val="center"/>
              <w:rPr>
                <w:rFonts w:ascii="宋体" w:hAnsi="宋体"/>
                <w:color w:val="000000"/>
                <w:sz w:val="22"/>
                <w:szCs w:val="22"/>
              </w:rPr>
            </w:pPr>
          </w:p>
        </w:tc>
        <w:tc>
          <w:tcPr>
            <w:tcW w:w="5226" w:type="dxa"/>
            <w:gridSpan w:val="7"/>
            <w:vAlign w:val="center"/>
          </w:tcPr>
          <w:p w14:paraId="21626CC8">
            <w:pPr>
              <w:spacing w:line="360" w:lineRule="auto"/>
              <w:jc w:val="center"/>
              <w:rPr>
                <w:rFonts w:ascii="宋体" w:hAnsi="宋体"/>
                <w:color w:val="000000"/>
                <w:sz w:val="22"/>
                <w:szCs w:val="22"/>
              </w:rPr>
            </w:pPr>
            <w:r>
              <w:rPr>
                <w:rFonts w:hint="eastAsia" w:ascii="宋体" w:hAnsi="宋体"/>
                <w:color w:val="000000"/>
                <w:sz w:val="22"/>
                <w:szCs w:val="22"/>
              </w:rPr>
              <w:t>员工总人数：</w:t>
            </w:r>
          </w:p>
        </w:tc>
      </w:tr>
      <w:tr w14:paraId="2D538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Align w:val="center"/>
          </w:tcPr>
          <w:p w14:paraId="19DDC7D7">
            <w:pPr>
              <w:spacing w:line="360" w:lineRule="auto"/>
              <w:jc w:val="center"/>
              <w:rPr>
                <w:rFonts w:ascii="宋体" w:hAnsi="宋体"/>
                <w:color w:val="000000"/>
                <w:sz w:val="22"/>
                <w:szCs w:val="22"/>
              </w:rPr>
            </w:pPr>
            <w:r>
              <w:rPr>
                <w:rFonts w:hint="eastAsia" w:ascii="宋体" w:hAnsi="宋体"/>
                <w:color w:val="000000"/>
                <w:sz w:val="22"/>
                <w:szCs w:val="22"/>
              </w:rPr>
              <w:t>企业资质等级</w:t>
            </w:r>
          </w:p>
        </w:tc>
        <w:tc>
          <w:tcPr>
            <w:tcW w:w="2635" w:type="dxa"/>
            <w:gridSpan w:val="3"/>
            <w:vAlign w:val="center"/>
          </w:tcPr>
          <w:p w14:paraId="61367F9B">
            <w:pPr>
              <w:spacing w:line="360" w:lineRule="auto"/>
              <w:jc w:val="center"/>
              <w:rPr>
                <w:rFonts w:ascii="宋体" w:hAnsi="宋体"/>
                <w:color w:val="000000"/>
                <w:sz w:val="22"/>
                <w:szCs w:val="22"/>
              </w:rPr>
            </w:pPr>
          </w:p>
        </w:tc>
        <w:tc>
          <w:tcPr>
            <w:tcW w:w="1012" w:type="dxa"/>
            <w:vMerge w:val="restart"/>
            <w:vAlign w:val="center"/>
          </w:tcPr>
          <w:p w14:paraId="1AD8F49C">
            <w:pPr>
              <w:spacing w:line="360" w:lineRule="auto"/>
              <w:jc w:val="center"/>
              <w:rPr>
                <w:rFonts w:ascii="宋体" w:hAnsi="宋体"/>
                <w:color w:val="000000"/>
                <w:sz w:val="22"/>
                <w:szCs w:val="22"/>
              </w:rPr>
            </w:pPr>
            <w:r>
              <w:rPr>
                <w:rFonts w:hint="eastAsia" w:ascii="宋体" w:hAnsi="宋体"/>
                <w:color w:val="000000"/>
                <w:sz w:val="22"/>
                <w:szCs w:val="22"/>
              </w:rPr>
              <w:t>其中</w:t>
            </w:r>
          </w:p>
        </w:tc>
        <w:tc>
          <w:tcPr>
            <w:tcW w:w="1954" w:type="dxa"/>
            <w:gridSpan w:val="4"/>
            <w:vAlign w:val="center"/>
          </w:tcPr>
          <w:p w14:paraId="5A8307BC">
            <w:pPr>
              <w:spacing w:line="360" w:lineRule="auto"/>
              <w:jc w:val="center"/>
              <w:rPr>
                <w:rFonts w:ascii="宋体" w:hAnsi="宋体"/>
                <w:color w:val="000000"/>
                <w:sz w:val="22"/>
                <w:szCs w:val="22"/>
              </w:rPr>
            </w:pPr>
            <w:r>
              <w:rPr>
                <w:rFonts w:hint="eastAsia" w:ascii="宋体" w:hAnsi="宋体"/>
                <w:color w:val="000000"/>
                <w:sz w:val="22"/>
                <w:szCs w:val="22"/>
              </w:rPr>
              <w:t>高级职称人员</w:t>
            </w:r>
          </w:p>
        </w:tc>
        <w:tc>
          <w:tcPr>
            <w:tcW w:w="2260" w:type="dxa"/>
            <w:gridSpan w:val="2"/>
            <w:vAlign w:val="center"/>
          </w:tcPr>
          <w:p w14:paraId="7C7055D5">
            <w:pPr>
              <w:spacing w:line="360" w:lineRule="auto"/>
              <w:jc w:val="center"/>
              <w:rPr>
                <w:rFonts w:ascii="宋体" w:hAnsi="宋体"/>
                <w:color w:val="000000"/>
                <w:sz w:val="22"/>
                <w:szCs w:val="22"/>
              </w:rPr>
            </w:pPr>
          </w:p>
        </w:tc>
      </w:tr>
      <w:tr w14:paraId="54CED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Align w:val="center"/>
          </w:tcPr>
          <w:p w14:paraId="18081D62">
            <w:pPr>
              <w:spacing w:line="360" w:lineRule="auto"/>
              <w:jc w:val="center"/>
              <w:rPr>
                <w:rFonts w:ascii="宋体" w:hAnsi="宋体"/>
                <w:color w:val="000000"/>
                <w:sz w:val="22"/>
                <w:szCs w:val="22"/>
              </w:rPr>
            </w:pPr>
            <w:r>
              <w:rPr>
                <w:rFonts w:hint="eastAsia" w:ascii="宋体" w:hAnsi="宋体"/>
                <w:color w:val="000000"/>
                <w:sz w:val="22"/>
                <w:szCs w:val="22"/>
              </w:rPr>
              <w:t>营业执照号</w:t>
            </w:r>
          </w:p>
        </w:tc>
        <w:tc>
          <w:tcPr>
            <w:tcW w:w="2635" w:type="dxa"/>
            <w:gridSpan w:val="3"/>
            <w:vAlign w:val="center"/>
          </w:tcPr>
          <w:p w14:paraId="1A3EBE9A">
            <w:pPr>
              <w:spacing w:line="360" w:lineRule="auto"/>
              <w:jc w:val="center"/>
              <w:rPr>
                <w:rFonts w:ascii="宋体" w:hAnsi="宋体"/>
                <w:color w:val="000000"/>
                <w:sz w:val="22"/>
                <w:szCs w:val="22"/>
              </w:rPr>
            </w:pPr>
          </w:p>
        </w:tc>
        <w:tc>
          <w:tcPr>
            <w:tcW w:w="1012" w:type="dxa"/>
            <w:vMerge w:val="continue"/>
            <w:vAlign w:val="center"/>
          </w:tcPr>
          <w:p w14:paraId="75F6A332">
            <w:pPr>
              <w:spacing w:line="360" w:lineRule="auto"/>
              <w:jc w:val="center"/>
              <w:rPr>
                <w:rFonts w:ascii="宋体" w:hAnsi="宋体"/>
                <w:color w:val="000000"/>
                <w:sz w:val="22"/>
                <w:szCs w:val="22"/>
              </w:rPr>
            </w:pPr>
          </w:p>
        </w:tc>
        <w:tc>
          <w:tcPr>
            <w:tcW w:w="1954" w:type="dxa"/>
            <w:gridSpan w:val="4"/>
            <w:vAlign w:val="center"/>
          </w:tcPr>
          <w:p w14:paraId="665BE6B7">
            <w:pPr>
              <w:spacing w:line="360" w:lineRule="auto"/>
              <w:jc w:val="center"/>
              <w:rPr>
                <w:rFonts w:ascii="宋体" w:hAnsi="宋体"/>
                <w:color w:val="000000"/>
                <w:sz w:val="22"/>
                <w:szCs w:val="22"/>
              </w:rPr>
            </w:pPr>
            <w:r>
              <w:rPr>
                <w:rFonts w:hint="eastAsia" w:ascii="宋体" w:hAnsi="宋体"/>
                <w:color w:val="000000"/>
                <w:sz w:val="22"/>
                <w:szCs w:val="22"/>
              </w:rPr>
              <w:t>中级职称人员</w:t>
            </w:r>
          </w:p>
        </w:tc>
        <w:tc>
          <w:tcPr>
            <w:tcW w:w="2260" w:type="dxa"/>
            <w:gridSpan w:val="2"/>
            <w:vAlign w:val="center"/>
          </w:tcPr>
          <w:p w14:paraId="5BBEEFB0">
            <w:pPr>
              <w:spacing w:line="360" w:lineRule="auto"/>
              <w:jc w:val="center"/>
              <w:rPr>
                <w:rFonts w:ascii="宋体" w:hAnsi="宋体"/>
                <w:color w:val="000000"/>
                <w:sz w:val="22"/>
                <w:szCs w:val="22"/>
              </w:rPr>
            </w:pPr>
          </w:p>
        </w:tc>
      </w:tr>
      <w:tr w14:paraId="4B223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Align w:val="center"/>
          </w:tcPr>
          <w:p w14:paraId="3B587544">
            <w:pPr>
              <w:spacing w:line="360" w:lineRule="auto"/>
              <w:jc w:val="center"/>
              <w:rPr>
                <w:rFonts w:ascii="宋体" w:hAnsi="宋体"/>
                <w:color w:val="000000"/>
                <w:sz w:val="22"/>
                <w:szCs w:val="22"/>
              </w:rPr>
            </w:pPr>
            <w:r>
              <w:rPr>
                <w:rFonts w:hint="eastAsia" w:ascii="宋体" w:hAnsi="宋体"/>
                <w:color w:val="000000"/>
                <w:sz w:val="22"/>
                <w:szCs w:val="22"/>
              </w:rPr>
              <w:t>注册资金</w:t>
            </w:r>
          </w:p>
        </w:tc>
        <w:tc>
          <w:tcPr>
            <w:tcW w:w="2635" w:type="dxa"/>
            <w:gridSpan w:val="3"/>
            <w:vAlign w:val="center"/>
          </w:tcPr>
          <w:p w14:paraId="6A95390C">
            <w:pPr>
              <w:spacing w:line="360" w:lineRule="auto"/>
              <w:jc w:val="center"/>
              <w:rPr>
                <w:rFonts w:ascii="宋体" w:hAnsi="宋体"/>
                <w:color w:val="000000"/>
                <w:sz w:val="22"/>
                <w:szCs w:val="22"/>
              </w:rPr>
            </w:pPr>
          </w:p>
        </w:tc>
        <w:tc>
          <w:tcPr>
            <w:tcW w:w="1012" w:type="dxa"/>
            <w:vMerge w:val="continue"/>
            <w:vAlign w:val="center"/>
          </w:tcPr>
          <w:p w14:paraId="2B8FA28D">
            <w:pPr>
              <w:spacing w:line="360" w:lineRule="auto"/>
              <w:jc w:val="center"/>
              <w:rPr>
                <w:rFonts w:ascii="宋体" w:hAnsi="宋体"/>
                <w:color w:val="000000"/>
                <w:sz w:val="22"/>
                <w:szCs w:val="22"/>
              </w:rPr>
            </w:pPr>
          </w:p>
        </w:tc>
        <w:tc>
          <w:tcPr>
            <w:tcW w:w="1954" w:type="dxa"/>
            <w:gridSpan w:val="4"/>
            <w:vAlign w:val="center"/>
          </w:tcPr>
          <w:p w14:paraId="5CF5EFC6">
            <w:pPr>
              <w:spacing w:line="360" w:lineRule="auto"/>
              <w:jc w:val="center"/>
              <w:rPr>
                <w:rFonts w:ascii="宋体" w:hAnsi="宋体"/>
                <w:color w:val="000000"/>
                <w:sz w:val="22"/>
                <w:szCs w:val="22"/>
              </w:rPr>
            </w:pPr>
            <w:r>
              <w:rPr>
                <w:rFonts w:hint="eastAsia" w:ascii="宋体" w:hAnsi="宋体"/>
                <w:color w:val="000000"/>
                <w:sz w:val="22"/>
                <w:szCs w:val="22"/>
              </w:rPr>
              <w:t>初级职称人员</w:t>
            </w:r>
          </w:p>
        </w:tc>
        <w:tc>
          <w:tcPr>
            <w:tcW w:w="2260" w:type="dxa"/>
            <w:gridSpan w:val="2"/>
            <w:vAlign w:val="center"/>
          </w:tcPr>
          <w:p w14:paraId="5336CAEF">
            <w:pPr>
              <w:spacing w:line="360" w:lineRule="auto"/>
              <w:jc w:val="center"/>
              <w:rPr>
                <w:rFonts w:ascii="宋体" w:hAnsi="宋体"/>
                <w:color w:val="000000"/>
                <w:sz w:val="22"/>
                <w:szCs w:val="22"/>
              </w:rPr>
            </w:pPr>
          </w:p>
        </w:tc>
      </w:tr>
      <w:tr w14:paraId="47C16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Align w:val="center"/>
          </w:tcPr>
          <w:p w14:paraId="320C0852">
            <w:pPr>
              <w:spacing w:line="360" w:lineRule="auto"/>
              <w:jc w:val="center"/>
              <w:rPr>
                <w:rFonts w:ascii="宋体" w:hAnsi="宋体"/>
                <w:color w:val="000000"/>
                <w:sz w:val="22"/>
                <w:szCs w:val="22"/>
              </w:rPr>
            </w:pPr>
            <w:r>
              <w:rPr>
                <w:rFonts w:hint="eastAsia" w:ascii="宋体" w:hAnsi="宋体"/>
                <w:color w:val="000000"/>
                <w:sz w:val="22"/>
                <w:szCs w:val="22"/>
              </w:rPr>
              <w:t>开户银行</w:t>
            </w:r>
          </w:p>
        </w:tc>
        <w:tc>
          <w:tcPr>
            <w:tcW w:w="2635" w:type="dxa"/>
            <w:gridSpan w:val="3"/>
            <w:vAlign w:val="center"/>
          </w:tcPr>
          <w:p w14:paraId="68848A40">
            <w:pPr>
              <w:spacing w:line="360" w:lineRule="auto"/>
              <w:jc w:val="center"/>
              <w:rPr>
                <w:rFonts w:ascii="宋体" w:hAnsi="宋体"/>
                <w:color w:val="000000"/>
                <w:sz w:val="22"/>
                <w:szCs w:val="22"/>
              </w:rPr>
            </w:pPr>
          </w:p>
        </w:tc>
        <w:tc>
          <w:tcPr>
            <w:tcW w:w="1012" w:type="dxa"/>
            <w:vMerge w:val="continue"/>
            <w:vAlign w:val="center"/>
          </w:tcPr>
          <w:p w14:paraId="4FD51F6B">
            <w:pPr>
              <w:spacing w:line="360" w:lineRule="auto"/>
              <w:jc w:val="center"/>
              <w:rPr>
                <w:rFonts w:ascii="宋体" w:hAnsi="宋体"/>
                <w:color w:val="000000"/>
                <w:sz w:val="22"/>
                <w:szCs w:val="22"/>
              </w:rPr>
            </w:pPr>
          </w:p>
        </w:tc>
        <w:tc>
          <w:tcPr>
            <w:tcW w:w="1954" w:type="dxa"/>
            <w:gridSpan w:val="4"/>
            <w:vAlign w:val="center"/>
          </w:tcPr>
          <w:p w14:paraId="1BA27920">
            <w:pPr>
              <w:spacing w:line="360" w:lineRule="auto"/>
              <w:jc w:val="center"/>
              <w:rPr>
                <w:rFonts w:ascii="宋体" w:hAnsi="宋体"/>
                <w:color w:val="000000"/>
                <w:sz w:val="22"/>
                <w:szCs w:val="22"/>
              </w:rPr>
            </w:pPr>
          </w:p>
        </w:tc>
        <w:tc>
          <w:tcPr>
            <w:tcW w:w="2260" w:type="dxa"/>
            <w:gridSpan w:val="2"/>
            <w:vAlign w:val="center"/>
          </w:tcPr>
          <w:p w14:paraId="3DF4D50C">
            <w:pPr>
              <w:spacing w:line="360" w:lineRule="auto"/>
              <w:jc w:val="center"/>
              <w:rPr>
                <w:rFonts w:ascii="宋体" w:hAnsi="宋体"/>
                <w:color w:val="000000"/>
                <w:sz w:val="22"/>
                <w:szCs w:val="22"/>
              </w:rPr>
            </w:pPr>
          </w:p>
        </w:tc>
      </w:tr>
      <w:tr w14:paraId="053A1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Align w:val="center"/>
          </w:tcPr>
          <w:p w14:paraId="23F1A2D3">
            <w:pPr>
              <w:spacing w:line="360" w:lineRule="auto"/>
              <w:jc w:val="center"/>
              <w:rPr>
                <w:rFonts w:ascii="宋体" w:hAnsi="宋体"/>
                <w:color w:val="000000"/>
                <w:sz w:val="22"/>
                <w:szCs w:val="22"/>
              </w:rPr>
            </w:pPr>
            <w:r>
              <w:rPr>
                <w:rFonts w:hint="eastAsia" w:ascii="宋体" w:hAnsi="宋体"/>
                <w:color w:val="000000"/>
                <w:sz w:val="22"/>
                <w:szCs w:val="22"/>
              </w:rPr>
              <w:t>账号</w:t>
            </w:r>
          </w:p>
        </w:tc>
        <w:tc>
          <w:tcPr>
            <w:tcW w:w="2635" w:type="dxa"/>
            <w:gridSpan w:val="3"/>
            <w:vAlign w:val="center"/>
          </w:tcPr>
          <w:p w14:paraId="4C3C80AD">
            <w:pPr>
              <w:spacing w:line="360" w:lineRule="auto"/>
              <w:jc w:val="center"/>
              <w:rPr>
                <w:rFonts w:ascii="宋体" w:hAnsi="宋体"/>
                <w:color w:val="000000"/>
                <w:sz w:val="22"/>
                <w:szCs w:val="22"/>
              </w:rPr>
            </w:pPr>
          </w:p>
        </w:tc>
        <w:tc>
          <w:tcPr>
            <w:tcW w:w="1012" w:type="dxa"/>
            <w:vMerge w:val="continue"/>
            <w:vAlign w:val="center"/>
          </w:tcPr>
          <w:p w14:paraId="7874BEF3">
            <w:pPr>
              <w:spacing w:line="360" w:lineRule="auto"/>
              <w:jc w:val="center"/>
              <w:rPr>
                <w:rFonts w:ascii="宋体" w:hAnsi="宋体"/>
                <w:color w:val="000000"/>
                <w:sz w:val="22"/>
                <w:szCs w:val="22"/>
              </w:rPr>
            </w:pPr>
          </w:p>
        </w:tc>
        <w:tc>
          <w:tcPr>
            <w:tcW w:w="1954" w:type="dxa"/>
            <w:gridSpan w:val="4"/>
            <w:vAlign w:val="center"/>
          </w:tcPr>
          <w:p w14:paraId="0405D7F9">
            <w:pPr>
              <w:spacing w:line="360" w:lineRule="auto"/>
              <w:jc w:val="center"/>
              <w:rPr>
                <w:rFonts w:ascii="宋体" w:hAnsi="宋体"/>
                <w:color w:val="000000"/>
                <w:sz w:val="22"/>
                <w:szCs w:val="22"/>
              </w:rPr>
            </w:pPr>
          </w:p>
        </w:tc>
        <w:tc>
          <w:tcPr>
            <w:tcW w:w="2260" w:type="dxa"/>
            <w:gridSpan w:val="2"/>
            <w:vAlign w:val="center"/>
          </w:tcPr>
          <w:p w14:paraId="62927823">
            <w:pPr>
              <w:spacing w:line="360" w:lineRule="auto"/>
              <w:jc w:val="center"/>
              <w:rPr>
                <w:rFonts w:ascii="宋体" w:hAnsi="宋体"/>
                <w:color w:val="000000"/>
                <w:sz w:val="22"/>
                <w:szCs w:val="22"/>
              </w:rPr>
            </w:pPr>
          </w:p>
        </w:tc>
      </w:tr>
      <w:tr w14:paraId="54359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1771" w:type="dxa"/>
            <w:vAlign w:val="center"/>
          </w:tcPr>
          <w:p w14:paraId="488CF7F0">
            <w:pPr>
              <w:spacing w:line="360" w:lineRule="auto"/>
              <w:jc w:val="center"/>
              <w:rPr>
                <w:rFonts w:ascii="宋体" w:hAnsi="宋体"/>
                <w:color w:val="000000"/>
                <w:sz w:val="22"/>
                <w:szCs w:val="22"/>
              </w:rPr>
            </w:pPr>
            <w:r>
              <w:rPr>
                <w:rFonts w:hint="eastAsia" w:ascii="宋体" w:hAnsi="宋体"/>
                <w:color w:val="000000"/>
                <w:sz w:val="22"/>
                <w:szCs w:val="22"/>
              </w:rPr>
              <w:t>经营范围</w:t>
            </w:r>
          </w:p>
        </w:tc>
        <w:tc>
          <w:tcPr>
            <w:tcW w:w="7861" w:type="dxa"/>
            <w:gridSpan w:val="10"/>
            <w:vAlign w:val="center"/>
          </w:tcPr>
          <w:p w14:paraId="1F194E43">
            <w:pPr>
              <w:spacing w:line="360" w:lineRule="auto"/>
              <w:jc w:val="center"/>
              <w:rPr>
                <w:rFonts w:ascii="宋体" w:hAnsi="宋体"/>
                <w:color w:val="000000"/>
                <w:sz w:val="22"/>
                <w:szCs w:val="22"/>
              </w:rPr>
            </w:pPr>
          </w:p>
        </w:tc>
      </w:tr>
      <w:tr w14:paraId="7FB71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1" w:hRule="atLeast"/>
          <w:jc w:val="center"/>
        </w:trPr>
        <w:tc>
          <w:tcPr>
            <w:tcW w:w="1771" w:type="dxa"/>
            <w:vAlign w:val="center"/>
          </w:tcPr>
          <w:p w14:paraId="280897D9">
            <w:pPr>
              <w:spacing w:line="360" w:lineRule="auto"/>
              <w:jc w:val="center"/>
              <w:rPr>
                <w:rFonts w:ascii="宋体" w:hAnsi="宋体"/>
                <w:color w:val="000000"/>
                <w:sz w:val="22"/>
                <w:szCs w:val="22"/>
              </w:rPr>
            </w:pPr>
            <w:r>
              <w:rPr>
                <w:rFonts w:hint="eastAsia" w:ascii="宋体" w:hAnsi="宋体"/>
                <w:color w:val="000000"/>
                <w:sz w:val="22"/>
                <w:szCs w:val="22"/>
              </w:rPr>
              <w:t>财务状况</w:t>
            </w:r>
          </w:p>
        </w:tc>
        <w:tc>
          <w:tcPr>
            <w:tcW w:w="7861" w:type="dxa"/>
            <w:gridSpan w:val="10"/>
            <w:vAlign w:val="center"/>
          </w:tcPr>
          <w:p w14:paraId="115A238C">
            <w:pPr>
              <w:spacing w:line="360" w:lineRule="exact"/>
              <w:ind w:firstLine="462" w:firstLineChars="210"/>
              <w:jc w:val="center"/>
              <w:rPr>
                <w:rFonts w:ascii="宋体" w:hAnsi="宋体"/>
                <w:color w:val="000000"/>
                <w:sz w:val="22"/>
                <w:szCs w:val="22"/>
              </w:rPr>
            </w:pPr>
          </w:p>
        </w:tc>
      </w:tr>
      <w:tr w14:paraId="35500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jc w:val="center"/>
        </w:trPr>
        <w:tc>
          <w:tcPr>
            <w:tcW w:w="1771" w:type="dxa"/>
            <w:vAlign w:val="center"/>
          </w:tcPr>
          <w:p w14:paraId="51D55299">
            <w:pPr>
              <w:spacing w:line="360" w:lineRule="auto"/>
              <w:jc w:val="center"/>
              <w:rPr>
                <w:rFonts w:ascii="宋体" w:hAnsi="宋体"/>
                <w:color w:val="000000"/>
                <w:sz w:val="22"/>
                <w:szCs w:val="22"/>
              </w:rPr>
            </w:pPr>
            <w:r>
              <w:rPr>
                <w:rFonts w:hint="eastAsia" w:ascii="宋体" w:hAnsi="宋体"/>
                <w:color w:val="000000"/>
                <w:sz w:val="22"/>
                <w:szCs w:val="22"/>
              </w:rPr>
              <w:t>备注</w:t>
            </w:r>
          </w:p>
        </w:tc>
        <w:tc>
          <w:tcPr>
            <w:tcW w:w="7861" w:type="dxa"/>
            <w:gridSpan w:val="10"/>
            <w:vAlign w:val="center"/>
          </w:tcPr>
          <w:p w14:paraId="39523BF5">
            <w:pPr>
              <w:spacing w:line="360" w:lineRule="auto"/>
              <w:jc w:val="center"/>
              <w:rPr>
                <w:rFonts w:ascii="宋体" w:hAnsi="宋体"/>
                <w:color w:val="000000"/>
                <w:sz w:val="22"/>
                <w:szCs w:val="22"/>
              </w:rPr>
            </w:pPr>
          </w:p>
        </w:tc>
      </w:tr>
    </w:tbl>
    <w:p w14:paraId="1B6141AE">
      <w:pPr>
        <w:snapToGrid w:val="0"/>
        <w:spacing w:before="156" w:beforeLines="50" w:after="50" w:line="360" w:lineRule="auto"/>
        <w:rPr>
          <w:rFonts w:ascii="宋体" w:hAnsi="宋体"/>
          <w:color w:val="000000"/>
          <w:sz w:val="28"/>
          <w:szCs w:val="28"/>
        </w:rPr>
      </w:pPr>
    </w:p>
    <w:p w14:paraId="18A3CD0F">
      <w:pPr>
        <w:snapToGrid w:val="0"/>
        <w:spacing w:before="156" w:beforeLines="50" w:after="50" w:line="360" w:lineRule="auto"/>
        <w:jc w:val="center"/>
        <w:rPr>
          <w:rFonts w:ascii="宋体" w:hAnsi="宋体"/>
          <w:b/>
          <w:color w:val="000000"/>
          <w:sz w:val="28"/>
          <w:szCs w:val="28"/>
        </w:rPr>
      </w:pPr>
    </w:p>
    <w:p w14:paraId="1C1F3F24">
      <w:pPr>
        <w:snapToGrid w:val="0"/>
        <w:spacing w:before="156" w:beforeLines="50" w:after="50" w:line="360" w:lineRule="auto"/>
        <w:jc w:val="center"/>
        <w:rPr>
          <w:rFonts w:ascii="宋体" w:hAnsi="宋体"/>
          <w:b/>
          <w:color w:val="000000"/>
          <w:sz w:val="28"/>
          <w:szCs w:val="28"/>
        </w:rPr>
      </w:pPr>
    </w:p>
    <w:p w14:paraId="23CF2687">
      <w:pPr>
        <w:rPr>
          <w:rFonts w:ascii="宋体" w:hAnsi="宋体"/>
          <w:b/>
          <w:color w:val="000000"/>
          <w:sz w:val="28"/>
          <w:szCs w:val="28"/>
        </w:rPr>
      </w:pPr>
      <w:r>
        <w:rPr>
          <w:rFonts w:ascii="宋体" w:hAnsi="宋体"/>
          <w:b/>
          <w:color w:val="000000"/>
          <w:sz w:val="28"/>
          <w:szCs w:val="28"/>
        </w:rPr>
        <w:br w:type="page"/>
      </w:r>
    </w:p>
    <w:p w14:paraId="3604E6F3">
      <w:pPr>
        <w:spacing w:line="360" w:lineRule="auto"/>
        <w:jc w:val="left"/>
        <w:rPr>
          <w:rFonts w:ascii="宋体" w:hAnsi="宋体"/>
          <w:color w:val="000000"/>
          <w:sz w:val="28"/>
          <w:szCs w:val="28"/>
        </w:rPr>
      </w:pPr>
      <w:r>
        <w:rPr>
          <w:rFonts w:hint="eastAsia" w:ascii="宋体" w:hAnsi="宋体"/>
          <w:color w:val="000000"/>
          <w:sz w:val="28"/>
          <w:szCs w:val="28"/>
        </w:rPr>
        <w:t>附件六</w:t>
      </w:r>
    </w:p>
    <w:p w14:paraId="10492DC2">
      <w:pPr>
        <w:rPr>
          <w:rFonts w:ascii="宋体" w:hAnsi="宋体"/>
          <w:b/>
          <w:color w:val="000000"/>
          <w:sz w:val="28"/>
          <w:szCs w:val="28"/>
        </w:rPr>
      </w:pPr>
    </w:p>
    <w:p w14:paraId="3FF42AC2">
      <w:pPr>
        <w:tabs>
          <w:tab w:val="left" w:pos="482"/>
          <w:tab w:val="left" w:pos="2183"/>
          <w:tab w:val="left" w:pos="3884"/>
          <w:tab w:val="left" w:pos="5585"/>
        </w:tabs>
        <w:autoSpaceDE w:val="0"/>
        <w:autoSpaceDN w:val="0"/>
        <w:jc w:val="center"/>
        <w:outlineLvl w:val="2"/>
        <w:rPr>
          <w:rFonts w:cs="宋体"/>
          <w:sz w:val="36"/>
          <w:szCs w:val="36"/>
        </w:rPr>
      </w:pPr>
      <w:r>
        <w:rPr>
          <w:rFonts w:hint="eastAsia" w:cs="宋体"/>
          <w:b/>
          <w:bCs/>
          <w:sz w:val="28"/>
          <w:szCs w:val="28"/>
        </w:rPr>
        <w:t>质保期、工期承诺函</w:t>
      </w:r>
    </w:p>
    <w:p w14:paraId="6F1D0F9C">
      <w:pPr>
        <w:spacing w:line="440" w:lineRule="exact"/>
        <w:rPr>
          <w:rFonts w:ascii="宋体" w:hAnsi="宋体" w:cs="宋体"/>
          <w:sz w:val="22"/>
          <w:szCs w:val="22"/>
        </w:rPr>
      </w:pPr>
      <w:r>
        <w:rPr>
          <w:rFonts w:hint="eastAsia" w:cs="宋体"/>
        </w:rPr>
        <w:t>（</w:t>
      </w:r>
      <w:r>
        <w:rPr>
          <w:rFonts w:hint="eastAsia" w:ascii="宋体" w:hAnsi="宋体" w:cs="宋体"/>
          <w:sz w:val="22"/>
          <w:szCs w:val="22"/>
        </w:rPr>
        <w:t>招标人名称）：</w:t>
      </w:r>
    </w:p>
    <w:p w14:paraId="3EA9D953">
      <w:pPr>
        <w:wordWrap w:val="0"/>
        <w:spacing w:line="440" w:lineRule="exact"/>
        <w:ind w:firstLine="440" w:firstLineChars="200"/>
        <w:rPr>
          <w:rFonts w:ascii="宋体" w:hAnsi="宋体" w:cs="宋体"/>
          <w:sz w:val="22"/>
          <w:szCs w:val="22"/>
        </w:rPr>
      </w:pPr>
      <w:r>
        <w:rPr>
          <w:rFonts w:hint="eastAsia" w:ascii="宋体" w:hAnsi="宋体" w:cs="宋体"/>
          <w:sz w:val="22"/>
          <w:szCs w:val="22"/>
        </w:rPr>
        <w:t>我方承诺如中标，质保期为经浙江省特种设备科学研究院出具合格检验报告且双方共同验收合格后，质保期开始起计</w:t>
      </w:r>
      <w:r>
        <w:rPr>
          <w:rFonts w:hint="eastAsia" w:ascii="宋体" w:hAnsi="宋体" w:cs="宋体"/>
          <w:sz w:val="22"/>
          <w:szCs w:val="22"/>
          <w:u w:val="single"/>
        </w:rPr>
        <w:t xml:space="preserve">    </w:t>
      </w:r>
      <w:r>
        <w:rPr>
          <w:rFonts w:hint="eastAsia" w:ascii="宋体" w:hAnsi="宋体" w:cs="宋体"/>
          <w:sz w:val="22"/>
          <w:szCs w:val="22"/>
        </w:rPr>
        <w:t>年。</w:t>
      </w:r>
    </w:p>
    <w:p w14:paraId="4D54CBB8">
      <w:pPr>
        <w:wordWrap w:val="0"/>
        <w:spacing w:line="440" w:lineRule="exact"/>
        <w:ind w:firstLine="420" w:firstLineChars="200"/>
        <w:rPr>
          <w:rFonts w:ascii="宋体" w:hAnsi="宋体" w:cs="宋体"/>
          <w:sz w:val="22"/>
          <w:szCs w:val="22"/>
        </w:rPr>
      </w:pPr>
      <w:r>
        <w:rPr>
          <w:rFonts w:hint="eastAsia" w:ascii="宋体" w:hAnsi="宋体" w:cs="宋体"/>
          <w:kern w:val="0"/>
          <w:szCs w:val="21"/>
        </w:rPr>
        <w:t>维修工期：</w:t>
      </w:r>
      <w:r>
        <w:rPr>
          <w:rFonts w:hint="eastAsia" w:ascii="宋体" w:hAnsi="宋体" w:cs="宋体"/>
          <w:sz w:val="22"/>
          <w:szCs w:val="22"/>
        </w:rPr>
        <w:t>合同签订后，接招标人通知之日起</w:t>
      </w:r>
      <w:r>
        <w:rPr>
          <w:rFonts w:hint="eastAsia" w:ascii="宋体" w:hAnsi="宋体" w:cs="宋体"/>
          <w:sz w:val="22"/>
          <w:szCs w:val="22"/>
          <w:u w:val="single"/>
        </w:rPr>
        <w:t xml:space="preserve">    </w:t>
      </w:r>
      <w:r>
        <w:rPr>
          <w:rFonts w:hint="eastAsia" w:ascii="宋体" w:hAnsi="宋体" w:cs="宋体"/>
          <w:sz w:val="22"/>
          <w:szCs w:val="22"/>
        </w:rPr>
        <w:t>个日历天内完成合同范围内设备更换、维修并送回招标人指定地点且通过验收。</w:t>
      </w:r>
    </w:p>
    <w:p w14:paraId="6C0BB4E2">
      <w:pPr>
        <w:wordWrap w:val="0"/>
        <w:spacing w:line="440" w:lineRule="exact"/>
        <w:ind w:firstLine="440" w:firstLineChars="200"/>
        <w:rPr>
          <w:rFonts w:ascii="宋体" w:hAnsi="宋体" w:cs="宋体"/>
          <w:sz w:val="22"/>
          <w:szCs w:val="22"/>
        </w:rPr>
      </w:pPr>
      <w:r>
        <w:rPr>
          <w:rFonts w:hint="eastAsia" w:ascii="宋体" w:hAnsi="宋体" w:cs="宋体"/>
          <w:sz w:val="22"/>
          <w:szCs w:val="22"/>
        </w:rPr>
        <w:t>我方承诺项目维修改造完成后须出具国家环保部门认可的国四排放标准的检测证明</w:t>
      </w:r>
    </w:p>
    <w:p w14:paraId="3C00FFC5">
      <w:pPr>
        <w:wordWrap w:val="0"/>
        <w:spacing w:line="440" w:lineRule="exact"/>
        <w:ind w:firstLine="440" w:firstLineChars="200"/>
        <w:rPr>
          <w:rFonts w:ascii="宋体" w:hAnsi="宋体" w:cs="宋体"/>
          <w:sz w:val="22"/>
          <w:szCs w:val="22"/>
        </w:rPr>
      </w:pPr>
      <w:r>
        <w:rPr>
          <w:rFonts w:hint="eastAsia" w:ascii="宋体" w:hAnsi="宋体" w:cs="宋体"/>
          <w:sz w:val="22"/>
          <w:szCs w:val="22"/>
        </w:rPr>
        <w:t>我方承诺质保期内，承诺在接到招标人维修通知的 12 小时内做出响应，24小时内进场维修（若为油管更换后出现由于安装问题引起的故障，需在接到招标人通知后24小时内处理完毕），并在最短时间处理好故障，不得推卸。我方承诺发生零部件或维修质量问题时，我方遵循国家标准或行业标准进行修复；如遇发动机故障，我方遵循发动机大修规范进行修复。</w:t>
      </w:r>
    </w:p>
    <w:p w14:paraId="0CEF2253">
      <w:pPr>
        <w:wordWrap w:val="0"/>
        <w:spacing w:line="440" w:lineRule="exact"/>
        <w:ind w:firstLine="440" w:firstLineChars="200"/>
        <w:rPr>
          <w:rFonts w:ascii="宋体" w:hAnsi="宋体" w:cs="宋体"/>
          <w:sz w:val="22"/>
          <w:szCs w:val="22"/>
        </w:rPr>
      </w:pPr>
      <w:r>
        <w:rPr>
          <w:rFonts w:hint="eastAsia" w:ascii="宋体" w:hAnsi="宋体" w:cs="宋体"/>
          <w:sz w:val="22"/>
          <w:szCs w:val="22"/>
        </w:rPr>
        <w:t>我方承诺出质保期后，我方承诺对因招标人原因引起的门架故障在24小时内做出响应，并提供必要的有偿服务。</w:t>
      </w:r>
    </w:p>
    <w:p w14:paraId="6A3BD93F">
      <w:pPr>
        <w:wordWrap w:val="0"/>
        <w:spacing w:line="440" w:lineRule="exact"/>
        <w:ind w:firstLine="440" w:firstLineChars="200"/>
        <w:rPr>
          <w:rFonts w:ascii="宋体" w:hAnsi="宋体" w:cs="宋体"/>
          <w:sz w:val="22"/>
          <w:szCs w:val="22"/>
        </w:rPr>
      </w:pPr>
    </w:p>
    <w:p w14:paraId="011D5A24">
      <w:pPr>
        <w:wordWrap w:val="0"/>
        <w:spacing w:line="440" w:lineRule="exact"/>
        <w:ind w:firstLine="440" w:firstLineChars="200"/>
        <w:rPr>
          <w:rFonts w:ascii="宋体" w:hAnsi="宋体" w:cs="宋体"/>
          <w:sz w:val="22"/>
          <w:szCs w:val="22"/>
        </w:rPr>
      </w:pPr>
    </w:p>
    <w:p w14:paraId="682A97CA">
      <w:pPr>
        <w:spacing w:line="440" w:lineRule="exact"/>
        <w:rPr>
          <w:rFonts w:ascii="宋体" w:hAnsi="宋体" w:cs="宋体"/>
          <w:sz w:val="22"/>
          <w:szCs w:val="22"/>
        </w:rPr>
      </w:pPr>
      <w:r>
        <w:rPr>
          <w:rFonts w:hint="eastAsia" w:ascii="宋体" w:hAnsi="宋体" w:cs="宋体"/>
          <w:sz w:val="22"/>
          <w:szCs w:val="22"/>
        </w:rPr>
        <w:t>投标人全称（盖章）：</w:t>
      </w:r>
    </w:p>
    <w:p w14:paraId="53D1B467">
      <w:pPr>
        <w:spacing w:line="440" w:lineRule="exact"/>
        <w:rPr>
          <w:rFonts w:ascii="宋体" w:hAnsi="宋体" w:cs="宋体"/>
          <w:sz w:val="22"/>
          <w:szCs w:val="22"/>
        </w:rPr>
      </w:pPr>
      <w:r>
        <w:rPr>
          <w:rFonts w:hint="eastAsia" w:ascii="宋体" w:hAnsi="宋体" w:cs="宋体"/>
          <w:sz w:val="22"/>
          <w:szCs w:val="22"/>
        </w:rPr>
        <w:t>法定代表人或其授权代表（签字或盖章）：</w:t>
      </w:r>
    </w:p>
    <w:p w14:paraId="11E52184">
      <w:pPr>
        <w:spacing w:line="440" w:lineRule="exact"/>
        <w:rPr>
          <w:rFonts w:ascii="宋体" w:hAnsi="宋体" w:cs="宋体"/>
          <w:sz w:val="22"/>
          <w:szCs w:val="22"/>
        </w:rPr>
      </w:pPr>
      <w:r>
        <w:rPr>
          <w:rFonts w:hint="eastAsia" w:ascii="宋体" w:hAnsi="宋体" w:cs="宋体"/>
          <w:sz w:val="22"/>
          <w:szCs w:val="22"/>
        </w:rPr>
        <w:t>日期：     年   月  日</w:t>
      </w:r>
    </w:p>
    <w:p w14:paraId="43BA7214">
      <w:pPr>
        <w:pStyle w:val="9"/>
        <w:spacing w:after="0" w:line="440" w:lineRule="exact"/>
        <w:ind w:firstLine="220"/>
        <w:rPr>
          <w:rFonts w:ascii="宋体" w:hAnsi="宋体" w:cs="宋体"/>
          <w:sz w:val="22"/>
          <w:szCs w:val="22"/>
        </w:rPr>
      </w:pPr>
    </w:p>
    <w:p w14:paraId="4BD4B4DD">
      <w:pPr>
        <w:rPr>
          <w:rFonts w:ascii="宋体" w:hAnsi="宋体"/>
          <w:b/>
          <w:color w:val="000000"/>
          <w:sz w:val="28"/>
          <w:szCs w:val="28"/>
        </w:rPr>
      </w:pPr>
      <w:r>
        <w:rPr>
          <w:rFonts w:ascii="宋体" w:hAnsi="宋体"/>
          <w:b/>
          <w:color w:val="000000"/>
          <w:sz w:val="28"/>
          <w:szCs w:val="28"/>
        </w:rPr>
        <w:br w:type="page"/>
      </w:r>
    </w:p>
    <w:p w14:paraId="0A6BE115">
      <w:pPr>
        <w:spacing w:line="360" w:lineRule="auto"/>
        <w:jc w:val="left"/>
        <w:rPr>
          <w:rFonts w:ascii="宋体" w:hAnsi="宋体"/>
          <w:sz w:val="28"/>
          <w:szCs w:val="28"/>
        </w:rPr>
      </w:pPr>
      <w:r>
        <w:rPr>
          <w:rFonts w:hint="eastAsia" w:ascii="宋体" w:hAnsi="宋体"/>
          <w:sz w:val="28"/>
          <w:szCs w:val="28"/>
        </w:rPr>
        <w:t>附件七</w:t>
      </w:r>
    </w:p>
    <w:p w14:paraId="683DACA3">
      <w:pPr>
        <w:tabs>
          <w:tab w:val="left" w:pos="482"/>
          <w:tab w:val="left" w:pos="2183"/>
          <w:tab w:val="left" w:pos="3884"/>
          <w:tab w:val="left" w:pos="5585"/>
        </w:tabs>
        <w:autoSpaceDE w:val="0"/>
        <w:autoSpaceDN w:val="0"/>
        <w:jc w:val="center"/>
        <w:outlineLvl w:val="2"/>
        <w:rPr>
          <w:rFonts w:cs="宋体"/>
          <w:b/>
          <w:bCs/>
          <w:sz w:val="28"/>
          <w:szCs w:val="28"/>
        </w:rPr>
      </w:pPr>
      <w:r>
        <w:rPr>
          <w:rFonts w:hint="eastAsia" w:cs="宋体"/>
          <w:b/>
          <w:bCs/>
          <w:sz w:val="28"/>
          <w:szCs w:val="28"/>
        </w:rPr>
        <w:t>投标人情况（格式自拟）</w:t>
      </w:r>
    </w:p>
    <w:p w14:paraId="0AB497D4">
      <w:pPr>
        <w:wordWrap w:val="0"/>
        <w:spacing w:before="156" w:beforeLines="50" w:after="156" w:afterLines="50" w:line="400" w:lineRule="exact"/>
        <w:ind w:firstLine="440" w:firstLineChars="200"/>
        <w:rPr>
          <w:rFonts w:ascii="宋体" w:hAnsi="宋体"/>
          <w:sz w:val="22"/>
          <w:szCs w:val="22"/>
        </w:rPr>
      </w:pPr>
    </w:p>
    <w:p w14:paraId="1AFB72C8">
      <w:pPr>
        <w:snapToGrid w:val="0"/>
        <w:spacing w:before="50" w:after="50" w:line="360" w:lineRule="auto"/>
        <w:rPr>
          <w:rFonts w:ascii="宋体" w:hAnsi="宋体"/>
          <w:b/>
          <w:color w:val="000000"/>
          <w:sz w:val="28"/>
          <w:szCs w:val="28"/>
        </w:rPr>
      </w:pPr>
    </w:p>
    <w:p w14:paraId="5319B01E">
      <w:pPr>
        <w:rPr>
          <w:rFonts w:cs="宋体"/>
          <w:b/>
          <w:bCs/>
          <w:sz w:val="28"/>
          <w:szCs w:val="28"/>
        </w:rPr>
      </w:pPr>
      <w:r>
        <w:rPr>
          <w:rFonts w:hint="eastAsia" w:cs="宋体"/>
          <w:b/>
          <w:bCs/>
          <w:sz w:val="28"/>
          <w:szCs w:val="28"/>
        </w:rPr>
        <w:br w:type="page"/>
      </w:r>
    </w:p>
    <w:p w14:paraId="566DDD5F">
      <w:pPr>
        <w:spacing w:line="360" w:lineRule="auto"/>
        <w:jc w:val="left"/>
        <w:rPr>
          <w:rFonts w:ascii="宋体" w:hAnsi="宋体"/>
          <w:sz w:val="28"/>
          <w:szCs w:val="28"/>
        </w:rPr>
      </w:pPr>
      <w:r>
        <w:rPr>
          <w:rFonts w:hint="eastAsia" w:ascii="宋体" w:hAnsi="宋体"/>
          <w:sz w:val="28"/>
          <w:szCs w:val="28"/>
        </w:rPr>
        <w:t>附件八</w:t>
      </w:r>
    </w:p>
    <w:p w14:paraId="1ECC4E00">
      <w:pPr>
        <w:tabs>
          <w:tab w:val="left" w:pos="482"/>
          <w:tab w:val="left" w:pos="2183"/>
          <w:tab w:val="left" w:pos="3884"/>
          <w:tab w:val="left" w:pos="5585"/>
        </w:tabs>
        <w:autoSpaceDE w:val="0"/>
        <w:autoSpaceDN w:val="0"/>
        <w:jc w:val="center"/>
        <w:outlineLvl w:val="2"/>
        <w:rPr>
          <w:rFonts w:cs="宋体"/>
          <w:b/>
          <w:bCs/>
          <w:sz w:val="28"/>
          <w:szCs w:val="28"/>
        </w:rPr>
      </w:pPr>
      <w:r>
        <w:rPr>
          <w:rFonts w:hint="eastAsia" w:cs="宋体"/>
          <w:b/>
          <w:bCs/>
          <w:sz w:val="28"/>
          <w:szCs w:val="28"/>
        </w:rPr>
        <w:t>发动机选型与技术方案（格式自拟）</w:t>
      </w:r>
    </w:p>
    <w:p w14:paraId="56C1564F">
      <w:pPr>
        <w:wordWrap w:val="0"/>
        <w:spacing w:before="156" w:beforeLines="50" w:after="156" w:afterLines="50" w:line="400" w:lineRule="exact"/>
        <w:ind w:firstLine="440" w:firstLineChars="200"/>
        <w:rPr>
          <w:rFonts w:ascii="宋体" w:hAnsi="宋体"/>
          <w:sz w:val="22"/>
          <w:szCs w:val="22"/>
        </w:rPr>
      </w:pPr>
    </w:p>
    <w:p w14:paraId="7ABA5D8F">
      <w:pPr>
        <w:rPr>
          <w:rFonts w:cs="宋体"/>
          <w:b/>
          <w:bCs/>
          <w:sz w:val="28"/>
          <w:szCs w:val="28"/>
        </w:rPr>
      </w:pPr>
      <w:r>
        <w:rPr>
          <w:rFonts w:hint="eastAsia" w:cs="宋体"/>
          <w:b/>
          <w:bCs/>
          <w:sz w:val="28"/>
          <w:szCs w:val="28"/>
        </w:rPr>
        <w:br w:type="page"/>
      </w:r>
    </w:p>
    <w:p w14:paraId="3B7F646D">
      <w:pPr>
        <w:spacing w:line="360" w:lineRule="auto"/>
        <w:jc w:val="left"/>
        <w:rPr>
          <w:rFonts w:ascii="宋体" w:hAnsi="宋体"/>
          <w:sz w:val="28"/>
          <w:szCs w:val="28"/>
        </w:rPr>
      </w:pPr>
      <w:r>
        <w:rPr>
          <w:rFonts w:hint="eastAsia" w:ascii="宋体" w:hAnsi="宋体"/>
          <w:sz w:val="28"/>
          <w:szCs w:val="28"/>
        </w:rPr>
        <w:t>附件九</w:t>
      </w:r>
    </w:p>
    <w:p w14:paraId="1AAF4F16">
      <w:pPr>
        <w:tabs>
          <w:tab w:val="left" w:pos="482"/>
          <w:tab w:val="left" w:pos="2183"/>
          <w:tab w:val="left" w:pos="3884"/>
          <w:tab w:val="left" w:pos="5585"/>
        </w:tabs>
        <w:autoSpaceDE w:val="0"/>
        <w:autoSpaceDN w:val="0"/>
        <w:jc w:val="center"/>
        <w:outlineLvl w:val="2"/>
        <w:rPr>
          <w:rFonts w:cs="宋体"/>
          <w:b/>
          <w:bCs/>
          <w:sz w:val="28"/>
          <w:szCs w:val="28"/>
        </w:rPr>
      </w:pPr>
      <w:r>
        <w:rPr>
          <w:rFonts w:hint="eastAsia" w:cs="宋体"/>
          <w:b/>
          <w:bCs/>
          <w:sz w:val="28"/>
          <w:szCs w:val="28"/>
        </w:rPr>
        <w:t>售后服务（格式自拟）</w:t>
      </w:r>
    </w:p>
    <w:p w14:paraId="787A1960">
      <w:pPr>
        <w:wordWrap w:val="0"/>
        <w:spacing w:before="156" w:beforeLines="50" w:after="156" w:afterLines="50" w:line="400" w:lineRule="exact"/>
        <w:ind w:firstLine="440" w:firstLineChars="200"/>
        <w:rPr>
          <w:rFonts w:ascii="宋体" w:hAnsi="宋体"/>
          <w:sz w:val="22"/>
          <w:szCs w:val="22"/>
        </w:rPr>
      </w:pPr>
    </w:p>
    <w:p w14:paraId="01FC9F5D">
      <w:pPr>
        <w:rPr>
          <w:rFonts w:cs="宋体"/>
          <w:b/>
          <w:bCs/>
          <w:sz w:val="28"/>
          <w:szCs w:val="28"/>
        </w:rPr>
      </w:pPr>
      <w:r>
        <w:rPr>
          <w:rFonts w:hint="eastAsia" w:cs="宋体"/>
          <w:b/>
          <w:bCs/>
          <w:sz w:val="28"/>
          <w:szCs w:val="28"/>
        </w:rPr>
        <w:br w:type="page"/>
      </w:r>
    </w:p>
    <w:p w14:paraId="36AA66A3">
      <w:pPr>
        <w:spacing w:line="360" w:lineRule="auto"/>
        <w:jc w:val="left"/>
        <w:rPr>
          <w:rFonts w:hint="eastAsia" w:ascii="宋体" w:hAnsi="宋体" w:cs="Times New Roman"/>
          <w:sz w:val="28"/>
          <w:szCs w:val="28"/>
          <w:lang w:val="en-US" w:eastAsia="zh-CN"/>
        </w:rPr>
      </w:pPr>
      <w:bookmarkStart w:id="84" w:name="_Toc22083"/>
      <w:r>
        <w:rPr>
          <w:rFonts w:hint="eastAsia" w:ascii="宋体" w:hAnsi="宋体"/>
          <w:sz w:val="28"/>
          <w:szCs w:val="28"/>
        </w:rPr>
        <w:t>附件</w:t>
      </w:r>
      <w:r>
        <w:rPr>
          <w:rFonts w:hint="eastAsia" w:ascii="宋体" w:hAnsi="宋体"/>
          <w:sz w:val="28"/>
          <w:szCs w:val="28"/>
          <w:lang w:val="en-US" w:eastAsia="zh-CN"/>
        </w:rPr>
        <w:t xml:space="preserve">十  </w:t>
      </w:r>
      <w:r>
        <w:rPr>
          <w:rFonts w:hint="eastAsia" w:ascii="宋体" w:hAnsi="宋体" w:cs="Times New Roman"/>
          <w:sz w:val="28"/>
          <w:szCs w:val="28"/>
          <w:lang w:val="en-US" w:eastAsia="zh-CN"/>
        </w:rPr>
        <w:t>维修清单品牌表</w:t>
      </w:r>
    </w:p>
    <w:p w14:paraId="69DBFB51">
      <w:pPr>
        <w:spacing w:line="360" w:lineRule="auto"/>
        <w:jc w:val="left"/>
        <w:rPr>
          <w:rFonts w:hint="eastAsia" w:ascii="宋体" w:hAnsi="宋体" w:cs="Times New Roman"/>
          <w:sz w:val="28"/>
          <w:szCs w:val="28"/>
          <w:lang w:val="en-US" w:eastAsia="zh-CN"/>
        </w:rPr>
      </w:pPr>
    </w:p>
    <w:tbl>
      <w:tblPr>
        <w:tblStyle w:val="28"/>
        <w:tblW w:w="8253" w:type="dxa"/>
        <w:jc w:val="center"/>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03"/>
        <w:gridCol w:w="1361"/>
        <w:gridCol w:w="2687"/>
        <w:gridCol w:w="415"/>
        <w:gridCol w:w="1387"/>
      </w:tblGrid>
      <w:tr w14:paraId="1C7CA41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2B46AF26">
            <w:pPr>
              <w:widowControl/>
              <w:jc w:val="center"/>
              <w:rPr>
                <w:rFonts w:ascii="宋体" w:hAnsi="宋体" w:cs="宋体"/>
                <w:b/>
                <w:bCs/>
                <w:color w:val="000000"/>
                <w:szCs w:val="21"/>
              </w:rPr>
            </w:pPr>
            <w:r>
              <w:rPr>
                <w:rFonts w:hint="eastAsia" w:ascii="宋体" w:hAnsi="宋体" w:cs="宋体"/>
                <w:b/>
                <w:bCs/>
                <w:color w:val="000000"/>
                <w:kern w:val="0"/>
                <w:szCs w:val="21"/>
              </w:rPr>
              <w:t>序号</w:t>
            </w:r>
          </w:p>
        </w:tc>
        <w:tc>
          <w:tcPr>
            <w:tcW w:w="1361" w:type="dxa"/>
            <w:tcBorders>
              <w:tl2br w:val="nil"/>
              <w:tr2bl w:val="nil"/>
            </w:tcBorders>
            <w:noWrap/>
            <w:tcMar>
              <w:top w:w="15" w:type="dxa"/>
              <w:left w:w="15" w:type="dxa"/>
              <w:right w:w="15" w:type="dxa"/>
            </w:tcMar>
            <w:vAlign w:val="center"/>
          </w:tcPr>
          <w:p w14:paraId="484F093C">
            <w:pPr>
              <w:widowControl/>
              <w:jc w:val="center"/>
              <w:rPr>
                <w:rFonts w:hint="eastAsia" w:ascii="宋体" w:hAnsi="宋体" w:cs="宋体"/>
                <w:b/>
                <w:bCs/>
                <w:color w:val="000000"/>
                <w:kern w:val="0"/>
                <w:szCs w:val="21"/>
              </w:rPr>
            </w:pPr>
            <w:r>
              <w:rPr>
                <w:rFonts w:hint="eastAsia" w:ascii="宋体" w:hAnsi="宋体" w:cs="宋体"/>
                <w:b/>
                <w:bCs/>
                <w:color w:val="000000"/>
                <w:kern w:val="0"/>
                <w:szCs w:val="21"/>
              </w:rPr>
              <w:t>配件编码</w:t>
            </w:r>
          </w:p>
          <w:p w14:paraId="04241B48">
            <w:pPr>
              <w:widowControl/>
              <w:jc w:val="center"/>
              <w:rPr>
                <w:rFonts w:ascii="宋体" w:hAnsi="宋体" w:cs="宋体"/>
                <w:b/>
                <w:bCs/>
                <w:color w:val="000000"/>
                <w:szCs w:val="21"/>
              </w:rPr>
            </w:pPr>
            <w:r>
              <w:rPr>
                <w:rFonts w:hint="eastAsia" w:ascii="宋体" w:hAnsi="宋体" w:cs="宋体"/>
                <w:b/>
                <w:bCs/>
                <w:color w:val="000000"/>
                <w:kern w:val="0"/>
                <w:szCs w:val="21"/>
              </w:rPr>
              <w:t>/（型号）</w:t>
            </w:r>
          </w:p>
        </w:tc>
        <w:tc>
          <w:tcPr>
            <w:tcW w:w="2687" w:type="dxa"/>
            <w:tcBorders>
              <w:tl2br w:val="nil"/>
              <w:tr2bl w:val="nil"/>
            </w:tcBorders>
            <w:noWrap/>
            <w:tcMar>
              <w:top w:w="15" w:type="dxa"/>
              <w:left w:w="15" w:type="dxa"/>
              <w:right w:w="15" w:type="dxa"/>
            </w:tcMar>
            <w:vAlign w:val="center"/>
          </w:tcPr>
          <w:p w14:paraId="7859D478">
            <w:pPr>
              <w:widowControl/>
              <w:jc w:val="center"/>
              <w:rPr>
                <w:rFonts w:ascii="宋体" w:hAnsi="宋体" w:cs="宋体"/>
                <w:b/>
                <w:bCs/>
                <w:color w:val="000000"/>
                <w:szCs w:val="21"/>
              </w:rPr>
            </w:pPr>
            <w:r>
              <w:rPr>
                <w:rFonts w:hint="eastAsia" w:ascii="宋体" w:hAnsi="宋体" w:cs="宋体"/>
                <w:b/>
                <w:bCs/>
                <w:color w:val="000000"/>
                <w:kern w:val="0"/>
                <w:szCs w:val="21"/>
              </w:rPr>
              <w:t>名称</w:t>
            </w:r>
          </w:p>
        </w:tc>
        <w:tc>
          <w:tcPr>
            <w:tcW w:w="415" w:type="dxa"/>
            <w:tcBorders>
              <w:tl2br w:val="nil"/>
              <w:tr2bl w:val="nil"/>
            </w:tcBorders>
            <w:noWrap/>
            <w:tcMar>
              <w:top w:w="15" w:type="dxa"/>
              <w:left w:w="15" w:type="dxa"/>
              <w:right w:w="15" w:type="dxa"/>
            </w:tcMar>
            <w:vAlign w:val="center"/>
          </w:tcPr>
          <w:p w14:paraId="33E5A37B">
            <w:pPr>
              <w:widowControl/>
              <w:jc w:val="center"/>
              <w:rPr>
                <w:rFonts w:ascii="宋体" w:hAnsi="宋体" w:cs="宋体"/>
                <w:b/>
                <w:bCs/>
                <w:color w:val="000000"/>
                <w:szCs w:val="21"/>
              </w:rPr>
            </w:pPr>
            <w:r>
              <w:rPr>
                <w:rFonts w:hint="eastAsia" w:ascii="宋体" w:hAnsi="宋体" w:cs="宋体"/>
                <w:b/>
                <w:bCs/>
                <w:color w:val="000000"/>
                <w:kern w:val="0"/>
                <w:szCs w:val="21"/>
              </w:rPr>
              <w:t>数量</w:t>
            </w:r>
          </w:p>
        </w:tc>
        <w:tc>
          <w:tcPr>
            <w:tcW w:w="1387" w:type="dxa"/>
            <w:tcBorders>
              <w:tl2br w:val="nil"/>
              <w:tr2bl w:val="nil"/>
            </w:tcBorders>
            <w:shd w:val="clear" w:color="auto" w:fill="auto"/>
            <w:noWrap/>
            <w:tcMar>
              <w:top w:w="15" w:type="dxa"/>
              <w:left w:w="15" w:type="dxa"/>
              <w:right w:w="15" w:type="dxa"/>
            </w:tcMar>
            <w:vAlign w:val="center"/>
          </w:tcPr>
          <w:p w14:paraId="498A5C05">
            <w:pPr>
              <w:pStyle w:val="15"/>
              <w:snapToGrid w:val="0"/>
              <w:spacing w:before="156" w:after="156" w:line="240" w:lineRule="auto"/>
              <w:jc w:val="center"/>
              <w:rPr>
                <w:rFonts w:hAnsi="宋体" w:cs="宋体"/>
                <w:bCs/>
                <w:kern w:val="2"/>
                <w:sz w:val="22"/>
                <w:szCs w:val="22"/>
              </w:rPr>
            </w:pPr>
            <w:r>
              <w:rPr>
                <w:rFonts w:hint="eastAsia" w:hAnsi="宋体" w:cs="宋体"/>
                <w:bCs/>
                <w:kern w:val="2"/>
                <w:sz w:val="22"/>
                <w:szCs w:val="22"/>
              </w:rPr>
              <w:t>品牌</w:t>
            </w:r>
          </w:p>
        </w:tc>
      </w:tr>
      <w:tr w14:paraId="14057E9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4DC0CAE4">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w:t>
            </w:r>
          </w:p>
        </w:tc>
        <w:tc>
          <w:tcPr>
            <w:tcW w:w="1361" w:type="dxa"/>
            <w:tcBorders>
              <w:tl2br w:val="nil"/>
              <w:tr2bl w:val="nil"/>
            </w:tcBorders>
            <w:noWrap/>
            <w:tcMar>
              <w:top w:w="15" w:type="dxa"/>
              <w:left w:w="15" w:type="dxa"/>
              <w:right w:w="15" w:type="dxa"/>
            </w:tcMar>
            <w:vAlign w:val="center"/>
          </w:tcPr>
          <w:p w14:paraId="2B525336">
            <w:pPr>
              <w:widowControl/>
              <w:jc w:val="center"/>
              <w:rPr>
                <w:rFonts w:ascii="宋体" w:hAnsi="宋体" w:cs="宋体"/>
                <w:color w:val="000000"/>
                <w:szCs w:val="21"/>
              </w:rPr>
            </w:pPr>
            <w:r>
              <w:rPr>
                <w:rFonts w:hint="eastAsia" w:ascii="宋体" w:hAnsi="宋体" w:cs="宋体"/>
                <w:color w:val="000000"/>
                <w:szCs w:val="21"/>
              </w:rPr>
              <w:t>\</w:t>
            </w:r>
          </w:p>
        </w:tc>
        <w:tc>
          <w:tcPr>
            <w:tcW w:w="2687" w:type="dxa"/>
            <w:tcBorders>
              <w:tl2br w:val="nil"/>
              <w:tr2bl w:val="nil"/>
            </w:tcBorders>
            <w:shd w:val="clear" w:color="auto" w:fill="auto"/>
            <w:noWrap/>
            <w:tcMar>
              <w:top w:w="15" w:type="dxa"/>
              <w:left w:w="15" w:type="dxa"/>
              <w:right w:w="15" w:type="dxa"/>
            </w:tcMar>
            <w:vAlign w:val="center"/>
          </w:tcPr>
          <w:p w14:paraId="14599757">
            <w:pPr>
              <w:widowControl/>
              <w:jc w:val="center"/>
              <w:rPr>
                <w:rFonts w:ascii="宋体" w:hAnsi="宋体" w:cs="宋体"/>
                <w:szCs w:val="21"/>
              </w:rPr>
            </w:pPr>
            <w:r>
              <w:rPr>
                <w:rFonts w:hint="eastAsia" w:ascii="宋体" w:hAnsi="宋体" w:cs="宋体"/>
                <w:szCs w:val="21"/>
              </w:rPr>
              <w:t>更换卡尔玛原厂门架总成</w:t>
            </w:r>
          </w:p>
          <w:p w14:paraId="70B598A1">
            <w:pPr>
              <w:widowControl/>
              <w:jc w:val="center"/>
              <w:rPr>
                <w:rFonts w:ascii="宋体" w:hAnsi="宋体" w:cs="宋体"/>
                <w:snapToGrid w:val="0"/>
                <w:color w:val="000000"/>
                <w:kern w:val="0"/>
                <w:szCs w:val="21"/>
              </w:rPr>
            </w:pPr>
          </w:p>
        </w:tc>
        <w:tc>
          <w:tcPr>
            <w:tcW w:w="415" w:type="dxa"/>
            <w:tcBorders>
              <w:tl2br w:val="nil"/>
              <w:tr2bl w:val="nil"/>
            </w:tcBorders>
            <w:shd w:val="clear" w:color="auto" w:fill="auto"/>
            <w:noWrap/>
            <w:tcMar>
              <w:top w:w="15" w:type="dxa"/>
              <w:left w:w="15" w:type="dxa"/>
              <w:right w:w="15" w:type="dxa"/>
            </w:tcMar>
            <w:vAlign w:val="center"/>
          </w:tcPr>
          <w:p w14:paraId="38936F3F">
            <w:pPr>
              <w:widowControl/>
              <w:jc w:val="center"/>
              <w:rPr>
                <w:rFonts w:ascii="宋体" w:hAnsi="宋体" w:cs="宋体"/>
                <w:snapToGrid w:val="0"/>
                <w:color w:val="000000"/>
                <w:kern w:val="0"/>
                <w:szCs w:val="21"/>
              </w:rPr>
            </w:pPr>
            <w:r>
              <w:rPr>
                <w:rFonts w:hint="eastAsia" w:ascii="宋体" w:hAnsi="宋体" w:cs="宋体"/>
                <w:szCs w:val="21"/>
              </w:rPr>
              <w:t>1</w:t>
            </w:r>
          </w:p>
        </w:tc>
        <w:tc>
          <w:tcPr>
            <w:tcW w:w="1387" w:type="dxa"/>
            <w:tcBorders>
              <w:tl2br w:val="nil"/>
              <w:tr2bl w:val="nil"/>
            </w:tcBorders>
            <w:shd w:val="clear" w:color="auto" w:fill="auto"/>
            <w:noWrap/>
            <w:tcMar>
              <w:top w:w="15" w:type="dxa"/>
              <w:left w:w="15" w:type="dxa"/>
              <w:right w:w="15" w:type="dxa"/>
            </w:tcMar>
            <w:vAlign w:val="center"/>
          </w:tcPr>
          <w:p w14:paraId="15B91E2F">
            <w:pPr>
              <w:widowControl/>
              <w:jc w:val="center"/>
              <w:rPr>
                <w:rFonts w:ascii="宋体" w:hAnsi="宋体" w:cs="宋体"/>
                <w:szCs w:val="21"/>
              </w:rPr>
            </w:pPr>
          </w:p>
        </w:tc>
      </w:tr>
      <w:tr w14:paraId="3ECC2A0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3A8BED76">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w:t>
            </w:r>
          </w:p>
        </w:tc>
        <w:tc>
          <w:tcPr>
            <w:tcW w:w="1361" w:type="dxa"/>
            <w:tcBorders>
              <w:tl2br w:val="nil"/>
              <w:tr2bl w:val="nil"/>
            </w:tcBorders>
            <w:shd w:val="clear" w:color="auto" w:fill="FFFFFF"/>
            <w:noWrap/>
            <w:tcMar>
              <w:top w:w="15" w:type="dxa"/>
              <w:left w:w="15" w:type="dxa"/>
              <w:right w:w="15" w:type="dxa"/>
            </w:tcMar>
            <w:vAlign w:val="center"/>
          </w:tcPr>
          <w:p w14:paraId="16FF3FC5">
            <w:pPr>
              <w:widowControl/>
              <w:jc w:val="center"/>
              <w:rPr>
                <w:rFonts w:ascii="宋体" w:hAnsi="宋体" w:cs="宋体"/>
                <w:color w:val="000000"/>
                <w:szCs w:val="21"/>
              </w:rPr>
            </w:pPr>
            <w:r>
              <w:rPr>
                <w:rFonts w:hint="eastAsia" w:ascii="宋体" w:hAnsi="宋体" w:cs="宋体"/>
                <w:color w:val="000000"/>
                <w:szCs w:val="21"/>
                <w:lang w:val="en-US" w:eastAsia="zh-CN"/>
              </w:rPr>
              <w:t>\</w:t>
            </w:r>
          </w:p>
        </w:tc>
        <w:tc>
          <w:tcPr>
            <w:tcW w:w="2687" w:type="dxa"/>
            <w:tcBorders>
              <w:tl2br w:val="nil"/>
              <w:tr2bl w:val="nil"/>
            </w:tcBorders>
            <w:shd w:val="clear" w:color="auto" w:fill="auto"/>
            <w:noWrap/>
            <w:tcMar>
              <w:top w:w="15" w:type="dxa"/>
              <w:left w:w="15" w:type="dxa"/>
              <w:right w:w="15" w:type="dxa"/>
            </w:tcMar>
            <w:vAlign w:val="center"/>
          </w:tcPr>
          <w:p w14:paraId="78A7802C">
            <w:pPr>
              <w:widowControl/>
              <w:jc w:val="center"/>
              <w:rPr>
                <w:rFonts w:ascii="宋体" w:hAnsi="宋体" w:cs="宋体"/>
                <w:snapToGrid w:val="0"/>
                <w:color w:val="000000"/>
                <w:kern w:val="0"/>
                <w:szCs w:val="21"/>
              </w:rPr>
            </w:pPr>
            <w:r>
              <w:rPr>
                <w:rFonts w:hint="eastAsia" w:ascii="宋体" w:hAnsi="宋体" w:cs="宋体"/>
                <w:szCs w:val="21"/>
                <w:lang w:val="en-US" w:eastAsia="zh-CN"/>
              </w:rPr>
              <w:t>全车油漆（底漆和面漆）</w:t>
            </w:r>
          </w:p>
        </w:tc>
        <w:tc>
          <w:tcPr>
            <w:tcW w:w="415" w:type="dxa"/>
            <w:tcBorders>
              <w:tl2br w:val="nil"/>
              <w:tr2bl w:val="nil"/>
            </w:tcBorders>
            <w:shd w:val="clear" w:color="auto" w:fill="auto"/>
            <w:noWrap/>
            <w:tcMar>
              <w:top w:w="15" w:type="dxa"/>
              <w:left w:w="15" w:type="dxa"/>
              <w:right w:w="15" w:type="dxa"/>
            </w:tcMar>
            <w:vAlign w:val="center"/>
          </w:tcPr>
          <w:p w14:paraId="233017D1">
            <w:pPr>
              <w:widowControl/>
              <w:jc w:val="center"/>
              <w:rPr>
                <w:rFonts w:ascii="宋体" w:hAnsi="宋体" w:cs="宋体"/>
                <w:snapToGrid w:val="0"/>
                <w:color w:val="000000"/>
                <w:kern w:val="0"/>
                <w:szCs w:val="21"/>
              </w:rPr>
            </w:pPr>
            <w:r>
              <w:rPr>
                <w:rFonts w:hint="eastAsia" w:ascii="宋体" w:hAnsi="宋体" w:cs="宋体"/>
                <w:szCs w:val="21"/>
                <w:lang w:val="en-US" w:eastAsia="zh-CN"/>
              </w:rPr>
              <w:t>1</w:t>
            </w:r>
          </w:p>
        </w:tc>
        <w:tc>
          <w:tcPr>
            <w:tcW w:w="1387" w:type="dxa"/>
            <w:tcBorders>
              <w:tl2br w:val="nil"/>
              <w:tr2bl w:val="nil"/>
            </w:tcBorders>
            <w:shd w:val="clear" w:color="auto" w:fill="auto"/>
            <w:noWrap/>
            <w:tcMar>
              <w:top w:w="15" w:type="dxa"/>
              <w:left w:w="15" w:type="dxa"/>
              <w:right w:w="15" w:type="dxa"/>
            </w:tcMar>
            <w:vAlign w:val="center"/>
          </w:tcPr>
          <w:p w14:paraId="47FCFBCB">
            <w:pPr>
              <w:widowControl/>
              <w:jc w:val="center"/>
              <w:rPr>
                <w:rFonts w:ascii="宋体" w:hAnsi="宋体" w:cs="宋体"/>
                <w:szCs w:val="21"/>
              </w:rPr>
            </w:pPr>
          </w:p>
        </w:tc>
      </w:tr>
      <w:tr w14:paraId="471F86C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703B6159">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w:t>
            </w:r>
          </w:p>
        </w:tc>
        <w:tc>
          <w:tcPr>
            <w:tcW w:w="1361" w:type="dxa"/>
            <w:tcBorders>
              <w:tl2br w:val="nil"/>
              <w:tr2bl w:val="nil"/>
            </w:tcBorders>
            <w:shd w:val="clear" w:color="auto" w:fill="FFFFFF"/>
            <w:noWrap/>
            <w:tcMar>
              <w:top w:w="15" w:type="dxa"/>
              <w:left w:w="15" w:type="dxa"/>
              <w:right w:w="15" w:type="dxa"/>
            </w:tcMar>
            <w:vAlign w:val="center"/>
          </w:tcPr>
          <w:p w14:paraId="264AC540">
            <w:pPr>
              <w:widowControl/>
              <w:jc w:val="center"/>
              <w:rPr>
                <w:rFonts w:ascii="宋体" w:hAnsi="宋体" w:cs="宋体"/>
                <w:color w:val="000000"/>
                <w:szCs w:val="21"/>
              </w:rPr>
            </w:pPr>
            <w:r>
              <w:rPr>
                <w:rFonts w:hint="eastAsia" w:ascii="宋体" w:hAnsi="宋体" w:cs="宋体"/>
                <w:snapToGrid w:val="0"/>
                <w:color w:val="000000"/>
                <w:kern w:val="0"/>
                <w:szCs w:val="21"/>
                <w:lang w:bidi="ar"/>
              </w:rPr>
              <w:t>A51795.0055</w:t>
            </w:r>
          </w:p>
        </w:tc>
        <w:tc>
          <w:tcPr>
            <w:tcW w:w="2687" w:type="dxa"/>
            <w:tcBorders>
              <w:tl2br w:val="nil"/>
              <w:tr2bl w:val="nil"/>
            </w:tcBorders>
            <w:shd w:val="clear" w:color="auto" w:fill="auto"/>
            <w:noWrap/>
            <w:tcMar>
              <w:top w:w="15" w:type="dxa"/>
              <w:left w:w="15" w:type="dxa"/>
              <w:right w:w="15" w:type="dxa"/>
            </w:tcMar>
            <w:vAlign w:val="center"/>
          </w:tcPr>
          <w:p w14:paraId="113119D9">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snapToGrid w:val="0"/>
                <w:color w:val="000000"/>
                <w:kern w:val="0"/>
                <w:szCs w:val="21"/>
                <w:lang w:bidi="ar"/>
              </w:rPr>
              <w:t>九通阀至手刹阀油管</w:t>
            </w:r>
          </w:p>
        </w:tc>
        <w:tc>
          <w:tcPr>
            <w:tcW w:w="415" w:type="dxa"/>
            <w:tcBorders>
              <w:tl2br w:val="nil"/>
              <w:tr2bl w:val="nil"/>
            </w:tcBorders>
            <w:shd w:val="clear" w:color="auto" w:fill="auto"/>
            <w:noWrap/>
            <w:tcMar>
              <w:top w:w="15" w:type="dxa"/>
              <w:left w:w="15" w:type="dxa"/>
              <w:right w:w="15" w:type="dxa"/>
            </w:tcMar>
            <w:vAlign w:val="center"/>
          </w:tcPr>
          <w:p w14:paraId="1F477535">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noWrap/>
            <w:tcMar>
              <w:top w:w="15" w:type="dxa"/>
              <w:left w:w="15" w:type="dxa"/>
              <w:right w:w="15" w:type="dxa"/>
            </w:tcMar>
            <w:vAlign w:val="center"/>
          </w:tcPr>
          <w:p w14:paraId="49CAB6E9">
            <w:pPr>
              <w:widowControl/>
              <w:jc w:val="center"/>
              <w:rPr>
                <w:rFonts w:ascii="宋体" w:hAnsi="宋体" w:cs="宋体"/>
                <w:szCs w:val="21"/>
              </w:rPr>
            </w:pPr>
          </w:p>
        </w:tc>
      </w:tr>
      <w:tr w14:paraId="492C40B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780953E2">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w:t>
            </w:r>
          </w:p>
        </w:tc>
        <w:tc>
          <w:tcPr>
            <w:tcW w:w="1361" w:type="dxa"/>
            <w:tcBorders>
              <w:tl2br w:val="nil"/>
              <w:tr2bl w:val="nil"/>
            </w:tcBorders>
            <w:shd w:val="clear" w:color="auto" w:fill="FFFFFF"/>
            <w:noWrap/>
            <w:tcMar>
              <w:top w:w="15" w:type="dxa"/>
              <w:left w:w="15" w:type="dxa"/>
              <w:right w:w="15" w:type="dxa"/>
            </w:tcMar>
            <w:vAlign w:val="center"/>
          </w:tcPr>
          <w:p w14:paraId="302E9A94">
            <w:pPr>
              <w:widowControl/>
              <w:jc w:val="center"/>
              <w:rPr>
                <w:rFonts w:ascii="宋体" w:hAnsi="宋体" w:cs="宋体"/>
                <w:color w:val="000000"/>
                <w:szCs w:val="21"/>
              </w:rPr>
            </w:pPr>
            <w:r>
              <w:rPr>
                <w:rFonts w:hint="eastAsia" w:ascii="宋体" w:hAnsi="宋体" w:cs="宋体"/>
                <w:snapToGrid w:val="0"/>
                <w:color w:val="000000"/>
                <w:kern w:val="0"/>
                <w:szCs w:val="21"/>
                <w:lang w:bidi="ar"/>
              </w:rPr>
              <w:t>A51969.0080</w:t>
            </w:r>
          </w:p>
        </w:tc>
        <w:tc>
          <w:tcPr>
            <w:tcW w:w="2687" w:type="dxa"/>
            <w:tcBorders>
              <w:tl2br w:val="nil"/>
              <w:tr2bl w:val="nil"/>
            </w:tcBorders>
            <w:shd w:val="clear" w:color="auto" w:fill="auto"/>
            <w:noWrap/>
            <w:tcMar>
              <w:top w:w="15" w:type="dxa"/>
              <w:left w:w="15" w:type="dxa"/>
              <w:right w:w="15" w:type="dxa"/>
            </w:tcMar>
            <w:vAlign w:val="center"/>
          </w:tcPr>
          <w:p w14:paraId="178B4238">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snapToGrid w:val="0"/>
                <w:color w:val="000000"/>
                <w:kern w:val="0"/>
                <w:szCs w:val="21"/>
                <w:lang w:bidi="ar"/>
              </w:rPr>
              <w:t>九通阀至手刹阀油管</w:t>
            </w:r>
          </w:p>
        </w:tc>
        <w:tc>
          <w:tcPr>
            <w:tcW w:w="415" w:type="dxa"/>
            <w:tcBorders>
              <w:tl2br w:val="nil"/>
              <w:tr2bl w:val="nil"/>
            </w:tcBorders>
            <w:shd w:val="clear" w:color="auto" w:fill="auto"/>
            <w:noWrap/>
            <w:tcMar>
              <w:top w:w="15" w:type="dxa"/>
              <w:left w:w="15" w:type="dxa"/>
              <w:right w:w="15" w:type="dxa"/>
            </w:tcMar>
            <w:vAlign w:val="center"/>
          </w:tcPr>
          <w:p w14:paraId="16C04602">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noWrap/>
            <w:tcMar>
              <w:top w:w="15" w:type="dxa"/>
              <w:left w:w="15" w:type="dxa"/>
              <w:right w:w="15" w:type="dxa"/>
            </w:tcMar>
            <w:vAlign w:val="center"/>
          </w:tcPr>
          <w:p w14:paraId="7CE40BBF">
            <w:pPr>
              <w:widowControl/>
              <w:jc w:val="center"/>
              <w:rPr>
                <w:rFonts w:ascii="宋体" w:hAnsi="宋体" w:cs="宋体"/>
                <w:color w:val="000000"/>
                <w:szCs w:val="21"/>
              </w:rPr>
            </w:pPr>
          </w:p>
        </w:tc>
      </w:tr>
      <w:tr w14:paraId="3CCA625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7FDBA083">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w:t>
            </w:r>
          </w:p>
        </w:tc>
        <w:tc>
          <w:tcPr>
            <w:tcW w:w="1361" w:type="dxa"/>
            <w:tcBorders>
              <w:tl2br w:val="nil"/>
              <w:tr2bl w:val="nil"/>
            </w:tcBorders>
            <w:shd w:val="clear" w:color="auto" w:fill="auto"/>
            <w:noWrap/>
            <w:tcMar>
              <w:top w:w="15" w:type="dxa"/>
              <w:left w:w="15" w:type="dxa"/>
              <w:right w:w="15" w:type="dxa"/>
            </w:tcMar>
            <w:vAlign w:val="center"/>
          </w:tcPr>
          <w:p w14:paraId="4F33EE0C">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A52682.0100</w:t>
            </w:r>
          </w:p>
        </w:tc>
        <w:tc>
          <w:tcPr>
            <w:tcW w:w="2687" w:type="dxa"/>
            <w:tcBorders>
              <w:tl2br w:val="nil"/>
              <w:tr2bl w:val="nil"/>
            </w:tcBorders>
            <w:shd w:val="clear" w:color="auto" w:fill="auto"/>
            <w:noWrap/>
            <w:tcMar>
              <w:top w:w="15" w:type="dxa"/>
              <w:left w:w="15" w:type="dxa"/>
              <w:right w:w="15" w:type="dxa"/>
            </w:tcMar>
            <w:vAlign w:val="center"/>
          </w:tcPr>
          <w:p w14:paraId="31A12B51">
            <w:pPr>
              <w:widowControl/>
              <w:jc w:val="center"/>
              <w:rPr>
                <w:rFonts w:ascii="宋体" w:hAnsi="宋体" w:cs="宋体"/>
                <w:snapToGrid w:val="0"/>
                <w:color w:val="000000"/>
                <w:kern w:val="0"/>
                <w:szCs w:val="21"/>
                <w:lang w:eastAsia="en-US"/>
              </w:rPr>
            </w:pPr>
            <w:r>
              <w:rPr>
                <w:rFonts w:hint="eastAsia" w:ascii="宋体" w:hAnsi="宋体" w:cs="宋体"/>
                <w:szCs w:val="21"/>
              </w:rPr>
              <w:t>更换</w:t>
            </w:r>
            <w:r>
              <w:rPr>
                <w:rFonts w:hint="eastAsia" w:ascii="宋体" w:hAnsi="宋体" w:cs="宋体"/>
                <w:snapToGrid w:val="0"/>
                <w:color w:val="000000"/>
                <w:kern w:val="0"/>
                <w:szCs w:val="21"/>
                <w:lang w:bidi="ar"/>
              </w:rPr>
              <w:t>九通阀至驱动桥散热油管</w:t>
            </w:r>
          </w:p>
        </w:tc>
        <w:tc>
          <w:tcPr>
            <w:tcW w:w="415" w:type="dxa"/>
            <w:tcBorders>
              <w:tl2br w:val="nil"/>
              <w:tr2bl w:val="nil"/>
            </w:tcBorders>
            <w:shd w:val="clear" w:color="auto" w:fill="auto"/>
            <w:noWrap/>
            <w:tcMar>
              <w:top w:w="15" w:type="dxa"/>
              <w:left w:w="15" w:type="dxa"/>
              <w:right w:w="15" w:type="dxa"/>
            </w:tcMar>
            <w:vAlign w:val="center"/>
          </w:tcPr>
          <w:p w14:paraId="01BB1E89">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4</w:t>
            </w:r>
          </w:p>
        </w:tc>
        <w:tc>
          <w:tcPr>
            <w:tcW w:w="1387" w:type="dxa"/>
            <w:tcBorders>
              <w:tl2br w:val="nil"/>
              <w:tr2bl w:val="nil"/>
            </w:tcBorders>
            <w:shd w:val="clear" w:color="auto" w:fill="auto"/>
            <w:noWrap/>
            <w:tcMar>
              <w:top w:w="15" w:type="dxa"/>
              <w:left w:w="15" w:type="dxa"/>
              <w:right w:w="15" w:type="dxa"/>
            </w:tcMar>
            <w:vAlign w:val="center"/>
          </w:tcPr>
          <w:p w14:paraId="03736421">
            <w:pPr>
              <w:widowControl/>
              <w:jc w:val="center"/>
              <w:rPr>
                <w:rFonts w:ascii="宋体" w:hAnsi="宋体" w:cs="宋体"/>
                <w:color w:val="000000"/>
                <w:szCs w:val="21"/>
              </w:rPr>
            </w:pPr>
          </w:p>
        </w:tc>
      </w:tr>
      <w:tr w14:paraId="4425F48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31A4BBD2">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6</w:t>
            </w:r>
          </w:p>
        </w:tc>
        <w:tc>
          <w:tcPr>
            <w:tcW w:w="1361" w:type="dxa"/>
            <w:tcBorders>
              <w:tl2br w:val="nil"/>
              <w:tr2bl w:val="nil"/>
            </w:tcBorders>
            <w:shd w:val="clear" w:color="auto" w:fill="FFFFFF"/>
            <w:noWrap/>
            <w:tcMar>
              <w:top w:w="15" w:type="dxa"/>
              <w:left w:w="15" w:type="dxa"/>
              <w:right w:w="15" w:type="dxa"/>
            </w:tcMar>
            <w:vAlign w:val="center"/>
          </w:tcPr>
          <w:p w14:paraId="2AE63788">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A51839.0100</w:t>
            </w:r>
          </w:p>
        </w:tc>
        <w:tc>
          <w:tcPr>
            <w:tcW w:w="2687" w:type="dxa"/>
            <w:tcBorders>
              <w:tl2br w:val="nil"/>
              <w:tr2bl w:val="nil"/>
            </w:tcBorders>
            <w:shd w:val="clear" w:color="auto" w:fill="auto"/>
            <w:noWrap/>
            <w:tcMar>
              <w:top w:w="15" w:type="dxa"/>
              <w:left w:w="15" w:type="dxa"/>
              <w:right w:w="15" w:type="dxa"/>
            </w:tcMar>
            <w:vAlign w:val="center"/>
          </w:tcPr>
          <w:p w14:paraId="1ACE5AC2">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snapToGrid w:val="0"/>
                <w:color w:val="000000"/>
                <w:kern w:val="0"/>
                <w:szCs w:val="21"/>
                <w:lang w:bidi="ar"/>
              </w:rPr>
              <w:t>九通阀至轮边刹车油管</w:t>
            </w:r>
          </w:p>
        </w:tc>
        <w:tc>
          <w:tcPr>
            <w:tcW w:w="415" w:type="dxa"/>
            <w:tcBorders>
              <w:tl2br w:val="nil"/>
              <w:tr2bl w:val="nil"/>
            </w:tcBorders>
            <w:shd w:val="clear" w:color="auto" w:fill="auto"/>
            <w:noWrap/>
            <w:tcMar>
              <w:top w:w="15" w:type="dxa"/>
              <w:left w:w="15" w:type="dxa"/>
              <w:right w:w="15" w:type="dxa"/>
            </w:tcMar>
            <w:vAlign w:val="center"/>
          </w:tcPr>
          <w:p w14:paraId="67C5DC38">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2</w:t>
            </w:r>
          </w:p>
        </w:tc>
        <w:tc>
          <w:tcPr>
            <w:tcW w:w="1387" w:type="dxa"/>
            <w:tcBorders>
              <w:tl2br w:val="nil"/>
              <w:tr2bl w:val="nil"/>
            </w:tcBorders>
            <w:shd w:val="clear" w:color="auto" w:fill="auto"/>
            <w:noWrap/>
            <w:tcMar>
              <w:top w:w="15" w:type="dxa"/>
              <w:left w:w="15" w:type="dxa"/>
              <w:right w:w="15" w:type="dxa"/>
            </w:tcMar>
            <w:vAlign w:val="center"/>
          </w:tcPr>
          <w:p w14:paraId="6C265C4A">
            <w:pPr>
              <w:widowControl/>
              <w:jc w:val="center"/>
              <w:rPr>
                <w:rFonts w:ascii="宋体" w:hAnsi="宋体" w:cs="宋体"/>
                <w:color w:val="000000"/>
                <w:szCs w:val="21"/>
              </w:rPr>
            </w:pPr>
          </w:p>
        </w:tc>
      </w:tr>
      <w:tr w14:paraId="62DDB54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41547454">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7</w:t>
            </w:r>
          </w:p>
        </w:tc>
        <w:tc>
          <w:tcPr>
            <w:tcW w:w="1361" w:type="dxa"/>
            <w:tcBorders>
              <w:tl2br w:val="nil"/>
              <w:tr2bl w:val="nil"/>
            </w:tcBorders>
            <w:shd w:val="clear" w:color="auto" w:fill="auto"/>
            <w:noWrap/>
            <w:tcMar>
              <w:top w:w="15" w:type="dxa"/>
              <w:left w:w="15" w:type="dxa"/>
              <w:right w:w="15" w:type="dxa"/>
            </w:tcMar>
            <w:vAlign w:val="center"/>
          </w:tcPr>
          <w:p w14:paraId="0F06B228">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A51837.0230</w:t>
            </w:r>
          </w:p>
        </w:tc>
        <w:tc>
          <w:tcPr>
            <w:tcW w:w="2687" w:type="dxa"/>
            <w:tcBorders>
              <w:tl2br w:val="nil"/>
              <w:tr2bl w:val="nil"/>
            </w:tcBorders>
            <w:shd w:val="clear" w:color="auto" w:fill="auto"/>
            <w:noWrap/>
            <w:tcMar>
              <w:top w:w="15" w:type="dxa"/>
              <w:left w:w="15" w:type="dxa"/>
              <w:right w:w="15" w:type="dxa"/>
            </w:tcMar>
            <w:vAlign w:val="center"/>
          </w:tcPr>
          <w:p w14:paraId="2DE47020">
            <w:pPr>
              <w:widowControl/>
              <w:jc w:val="center"/>
              <w:rPr>
                <w:rFonts w:ascii="宋体" w:hAnsi="宋体" w:cs="宋体"/>
                <w:snapToGrid w:val="0"/>
                <w:color w:val="000000"/>
                <w:kern w:val="0"/>
                <w:szCs w:val="21"/>
                <w:lang w:eastAsia="en-US"/>
              </w:rPr>
            </w:pPr>
            <w:r>
              <w:rPr>
                <w:rFonts w:hint="eastAsia" w:ascii="宋体" w:hAnsi="宋体" w:cs="宋体"/>
                <w:szCs w:val="21"/>
              </w:rPr>
              <w:t>更换</w:t>
            </w:r>
            <w:r>
              <w:rPr>
                <w:rFonts w:hint="eastAsia" w:ascii="宋体" w:hAnsi="宋体" w:cs="宋体"/>
                <w:snapToGrid w:val="0"/>
                <w:color w:val="000000"/>
                <w:kern w:val="0"/>
                <w:szCs w:val="21"/>
                <w:lang w:bidi="ar"/>
              </w:rPr>
              <w:t>脚刹阀回油管</w:t>
            </w:r>
          </w:p>
        </w:tc>
        <w:tc>
          <w:tcPr>
            <w:tcW w:w="415" w:type="dxa"/>
            <w:tcBorders>
              <w:tl2br w:val="nil"/>
              <w:tr2bl w:val="nil"/>
            </w:tcBorders>
            <w:shd w:val="clear" w:color="auto" w:fill="auto"/>
            <w:noWrap/>
            <w:tcMar>
              <w:top w:w="15" w:type="dxa"/>
              <w:left w:w="15" w:type="dxa"/>
              <w:right w:w="15" w:type="dxa"/>
            </w:tcMar>
            <w:vAlign w:val="center"/>
          </w:tcPr>
          <w:p w14:paraId="2ACF9852">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noWrap/>
            <w:tcMar>
              <w:top w:w="15" w:type="dxa"/>
              <w:left w:w="15" w:type="dxa"/>
              <w:right w:w="15" w:type="dxa"/>
            </w:tcMar>
            <w:vAlign w:val="center"/>
          </w:tcPr>
          <w:p w14:paraId="68E2D719">
            <w:pPr>
              <w:widowControl/>
              <w:jc w:val="center"/>
              <w:rPr>
                <w:rFonts w:ascii="宋体" w:hAnsi="宋体" w:cs="宋体"/>
                <w:color w:val="000000"/>
                <w:szCs w:val="21"/>
              </w:rPr>
            </w:pPr>
          </w:p>
        </w:tc>
      </w:tr>
      <w:tr w14:paraId="5DE44C3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4DE535AA">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8</w:t>
            </w:r>
          </w:p>
        </w:tc>
        <w:tc>
          <w:tcPr>
            <w:tcW w:w="1361" w:type="dxa"/>
            <w:tcBorders>
              <w:tl2br w:val="nil"/>
              <w:tr2bl w:val="nil"/>
            </w:tcBorders>
            <w:shd w:val="clear" w:color="auto" w:fill="FFFFFF"/>
            <w:noWrap/>
            <w:tcMar>
              <w:top w:w="15" w:type="dxa"/>
              <w:left w:w="15" w:type="dxa"/>
              <w:right w:w="15" w:type="dxa"/>
            </w:tcMar>
            <w:vAlign w:val="center"/>
          </w:tcPr>
          <w:p w14:paraId="23F648A1">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A51837.0320</w:t>
            </w:r>
          </w:p>
        </w:tc>
        <w:tc>
          <w:tcPr>
            <w:tcW w:w="2687" w:type="dxa"/>
            <w:tcBorders>
              <w:tl2br w:val="nil"/>
              <w:tr2bl w:val="nil"/>
            </w:tcBorders>
            <w:shd w:val="clear" w:color="auto" w:fill="auto"/>
            <w:noWrap/>
            <w:tcMar>
              <w:top w:w="15" w:type="dxa"/>
              <w:left w:w="15" w:type="dxa"/>
              <w:right w:w="15" w:type="dxa"/>
            </w:tcMar>
            <w:vAlign w:val="center"/>
          </w:tcPr>
          <w:p w14:paraId="40517931">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snapToGrid w:val="0"/>
                <w:color w:val="000000"/>
                <w:kern w:val="0"/>
                <w:szCs w:val="21"/>
                <w:lang w:bidi="ar"/>
              </w:rPr>
              <w:t>脚刹阀进油管</w:t>
            </w:r>
          </w:p>
        </w:tc>
        <w:tc>
          <w:tcPr>
            <w:tcW w:w="415" w:type="dxa"/>
            <w:tcBorders>
              <w:tl2br w:val="nil"/>
              <w:tr2bl w:val="nil"/>
            </w:tcBorders>
            <w:shd w:val="clear" w:color="auto" w:fill="auto"/>
            <w:noWrap/>
            <w:tcMar>
              <w:top w:w="15" w:type="dxa"/>
              <w:left w:w="15" w:type="dxa"/>
              <w:right w:w="15" w:type="dxa"/>
            </w:tcMar>
            <w:vAlign w:val="center"/>
          </w:tcPr>
          <w:p w14:paraId="2E3E6BF8">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noWrap/>
            <w:tcMar>
              <w:top w:w="15" w:type="dxa"/>
              <w:left w:w="15" w:type="dxa"/>
              <w:right w:w="15" w:type="dxa"/>
            </w:tcMar>
            <w:vAlign w:val="center"/>
          </w:tcPr>
          <w:p w14:paraId="70B67A07">
            <w:pPr>
              <w:widowControl/>
              <w:jc w:val="center"/>
              <w:rPr>
                <w:rFonts w:ascii="宋体" w:hAnsi="宋体" w:cs="宋体"/>
                <w:color w:val="000000"/>
                <w:szCs w:val="21"/>
              </w:rPr>
            </w:pPr>
          </w:p>
        </w:tc>
      </w:tr>
      <w:tr w14:paraId="1A7D681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26F6F65D">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9</w:t>
            </w:r>
          </w:p>
        </w:tc>
        <w:tc>
          <w:tcPr>
            <w:tcW w:w="1361" w:type="dxa"/>
            <w:tcBorders>
              <w:tl2br w:val="nil"/>
              <w:tr2bl w:val="nil"/>
            </w:tcBorders>
            <w:shd w:val="clear" w:color="auto" w:fill="auto"/>
            <w:noWrap/>
            <w:tcMar>
              <w:top w:w="15" w:type="dxa"/>
              <w:left w:w="15" w:type="dxa"/>
              <w:right w:w="15" w:type="dxa"/>
            </w:tcMar>
            <w:vAlign w:val="center"/>
          </w:tcPr>
          <w:p w14:paraId="5646F95F">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A51826.0105</w:t>
            </w:r>
          </w:p>
        </w:tc>
        <w:tc>
          <w:tcPr>
            <w:tcW w:w="2687" w:type="dxa"/>
            <w:tcBorders>
              <w:tl2br w:val="nil"/>
              <w:tr2bl w:val="nil"/>
            </w:tcBorders>
            <w:shd w:val="clear" w:color="auto" w:fill="auto"/>
            <w:noWrap/>
            <w:tcMar>
              <w:top w:w="15" w:type="dxa"/>
              <w:left w:w="15" w:type="dxa"/>
              <w:right w:w="15" w:type="dxa"/>
            </w:tcMar>
            <w:vAlign w:val="center"/>
          </w:tcPr>
          <w:p w14:paraId="672A5EF5">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snapToGrid w:val="0"/>
                <w:color w:val="000000"/>
                <w:kern w:val="0"/>
                <w:szCs w:val="21"/>
                <w:lang w:bidi="ar"/>
              </w:rPr>
              <w:t>手刹进油管</w:t>
            </w:r>
          </w:p>
        </w:tc>
        <w:tc>
          <w:tcPr>
            <w:tcW w:w="415" w:type="dxa"/>
            <w:tcBorders>
              <w:tl2br w:val="nil"/>
              <w:tr2bl w:val="nil"/>
            </w:tcBorders>
            <w:shd w:val="clear" w:color="auto" w:fill="auto"/>
            <w:noWrap/>
            <w:tcMar>
              <w:top w:w="15" w:type="dxa"/>
              <w:left w:w="15" w:type="dxa"/>
              <w:right w:w="15" w:type="dxa"/>
            </w:tcMar>
            <w:vAlign w:val="center"/>
          </w:tcPr>
          <w:p w14:paraId="634782BA">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noWrap/>
            <w:tcMar>
              <w:top w:w="15" w:type="dxa"/>
              <w:left w:w="15" w:type="dxa"/>
              <w:right w:w="15" w:type="dxa"/>
            </w:tcMar>
            <w:vAlign w:val="center"/>
          </w:tcPr>
          <w:p w14:paraId="1DBFF78E">
            <w:pPr>
              <w:widowControl/>
              <w:jc w:val="center"/>
              <w:rPr>
                <w:rFonts w:ascii="宋体" w:hAnsi="宋体" w:cs="宋体"/>
                <w:snapToGrid w:val="0"/>
                <w:color w:val="000000"/>
                <w:kern w:val="0"/>
                <w:szCs w:val="21"/>
                <w:lang w:bidi="ar"/>
              </w:rPr>
            </w:pPr>
          </w:p>
        </w:tc>
      </w:tr>
      <w:tr w14:paraId="6F1067D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2457685F">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10</w:t>
            </w:r>
          </w:p>
        </w:tc>
        <w:tc>
          <w:tcPr>
            <w:tcW w:w="1361" w:type="dxa"/>
            <w:tcBorders>
              <w:tl2br w:val="nil"/>
              <w:tr2bl w:val="nil"/>
            </w:tcBorders>
            <w:shd w:val="clear" w:color="auto" w:fill="auto"/>
            <w:noWrap/>
            <w:tcMar>
              <w:top w:w="15" w:type="dxa"/>
              <w:left w:w="15" w:type="dxa"/>
              <w:right w:w="15" w:type="dxa"/>
            </w:tcMar>
            <w:vAlign w:val="center"/>
          </w:tcPr>
          <w:p w14:paraId="06D28C97">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A51841.0325</w:t>
            </w:r>
          </w:p>
        </w:tc>
        <w:tc>
          <w:tcPr>
            <w:tcW w:w="2687" w:type="dxa"/>
            <w:tcBorders>
              <w:tl2br w:val="nil"/>
              <w:tr2bl w:val="nil"/>
            </w:tcBorders>
            <w:shd w:val="clear" w:color="auto" w:fill="auto"/>
            <w:noWrap/>
            <w:tcMar>
              <w:top w:w="15" w:type="dxa"/>
              <w:left w:w="15" w:type="dxa"/>
              <w:right w:w="15" w:type="dxa"/>
            </w:tcMar>
            <w:vAlign w:val="center"/>
          </w:tcPr>
          <w:p w14:paraId="2698E5BE">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snapToGrid w:val="0"/>
                <w:color w:val="000000"/>
                <w:kern w:val="0"/>
                <w:szCs w:val="21"/>
                <w:lang w:bidi="ar"/>
              </w:rPr>
              <w:t>脚刹阀至九通阀油管</w:t>
            </w:r>
          </w:p>
        </w:tc>
        <w:tc>
          <w:tcPr>
            <w:tcW w:w="415" w:type="dxa"/>
            <w:tcBorders>
              <w:tl2br w:val="nil"/>
              <w:tr2bl w:val="nil"/>
            </w:tcBorders>
            <w:shd w:val="clear" w:color="auto" w:fill="auto"/>
            <w:noWrap/>
            <w:tcMar>
              <w:top w:w="15" w:type="dxa"/>
              <w:left w:w="15" w:type="dxa"/>
              <w:right w:w="15" w:type="dxa"/>
            </w:tcMar>
            <w:vAlign w:val="center"/>
          </w:tcPr>
          <w:p w14:paraId="79AB9BF3">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noWrap/>
            <w:tcMar>
              <w:top w:w="15" w:type="dxa"/>
              <w:left w:w="15" w:type="dxa"/>
              <w:right w:w="15" w:type="dxa"/>
            </w:tcMar>
            <w:vAlign w:val="center"/>
          </w:tcPr>
          <w:p w14:paraId="5B58313A">
            <w:pPr>
              <w:widowControl/>
              <w:jc w:val="center"/>
              <w:rPr>
                <w:rFonts w:ascii="宋体" w:hAnsi="宋体" w:cs="宋体"/>
                <w:snapToGrid w:val="0"/>
                <w:color w:val="000000"/>
                <w:kern w:val="0"/>
                <w:szCs w:val="21"/>
                <w:lang w:bidi="ar"/>
              </w:rPr>
            </w:pPr>
          </w:p>
        </w:tc>
      </w:tr>
      <w:tr w14:paraId="62F70A7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2D9673F8">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11</w:t>
            </w:r>
          </w:p>
        </w:tc>
        <w:tc>
          <w:tcPr>
            <w:tcW w:w="1361" w:type="dxa"/>
            <w:tcBorders>
              <w:tl2br w:val="nil"/>
              <w:tr2bl w:val="nil"/>
            </w:tcBorders>
            <w:shd w:val="clear" w:color="auto" w:fill="auto"/>
            <w:noWrap/>
            <w:tcMar>
              <w:top w:w="15" w:type="dxa"/>
              <w:left w:w="15" w:type="dxa"/>
              <w:right w:w="15" w:type="dxa"/>
            </w:tcMar>
            <w:vAlign w:val="center"/>
          </w:tcPr>
          <w:p w14:paraId="7BF3E7BE">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A51969.0040</w:t>
            </w:r>
          </w:p>
        </w:tc>
        <w:tc>
          <w:tcPr>
            <w:tcW w:w="2687" w:type="dxa"/>
            <w:tcBorders>
              <w:tl2br w:val="nil"/>
              <w:tr2bl w:val="nil"/>
            </w:tcBorders>
            <w:shd w:val="clear" w:color="auto" w:fill="auto"/>
            <w:noWrap/>
            <w:tcMar>
              <w:top w:w="15" w:type="dxa"/>
              <w:left w:w="15" w:type="dxa"/>
              <w:right w:w="15" w:type="dxa"/>
            </w:tcMar>
            <w:vAlign w:val="center"/>
          </w:tcPr>
          <w:p w14:paraId="54A3C166">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snapToGrid w:val="0"/>
                <w:color w:val="000000"/>
                <w:kern w:val="0"/>
                <w:szCs w:val="21"/>
                <w:lang w:bidi="ar"/>
              </w:rPr>
              <w:t>副泵至高压滤芯油管</w:t>
            </w:r>
          </w:p>
        </w:tc>
        <w:tc>
          <w:tcPr>
            <w:tcW w:w="415" w:type="dxa"/>
            <w:tcBorders>
              <w:tl2br w:val="nil"/>
              <w:tr2bl w:val="nil"/>
            </w:tcBorders>
            <w:shd w:val="clear" w:color="auto" w:fill="auto"/>
            <w:noWrap/>
            <w:tcMar>
              <w:top w:w="15" w:type="dxa"/>
              <w:left w:w="15" w:type="dxa"/>
              <w:right w:w="15" w:type="dxa"/>
            </w:tcMar>
            <w:vAlign w:val="center"/>
          </w:tcPr>
          <w:p w14:paraId="1CD8830C">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noWrap/>
            <w:tcMar>
              <w:top w:w="15" w:type="dxa"/>
              <w:left w:w="15" w:type="dxa"/>
              <w:right w:w="15" w:type="dxa"/>
            </w:tcMar>
            <w:vAlign w:val="center"/>
          </w:tcPr>
          <w:p w14:paraId="10F5F7D5">
            <w:pPr>
              <w:widowControl/>
              <w:jc w:val="center"/>
              <w:rPr>
                <w:rFonts w:ascii="宋体" w:hAnsi="宋体" w:cs="宋体"/>
                <w:snapToGrid w:val="0"/>
                <w:color w:val="000000"/>
                <w:kern w:val="0"/>
                <w:szCs w:val="21"/>
                <w:lang w:bidi="ar"/>
              </w:rPr>
            </w:pPr>
          </w:p>
        </w:tc>
      </w:tr>
      <w:tr w14:paraId="66E2833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3B2E0C79">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12</w:t>
            </w:r>
          </w:p>
        </w:tc>
        <w:tc>
          <w:tcPr>
            <w:tcW w:w="1361" w:type="dxa"/>
            <w:tcBorders>
              <w:tl2br w:val="nil"/>
              <w:tr2bl w:val="nil"/>
            </w:tcBorders>
            <w:shd w:val="clear" w:color="auto" w:fill="auto"/>
            <w:noWrap/>
            <w:tcMar>
              <w:top w:w="15" w:type="dxa"/>
              <w:left w:w="15" w:type="dxa"/>
              <w:right w:w="15" w:type="dxa"/>
            </w:tcMar>
            <w:vAlign w:val="center"/>
          </w:tcPr>
          <w:p w14:paraId="26687641">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A51969.0100</w:t>
            </w:r>
          </w:p>
        </w:tc>
        <w:tc>
          <w:tcPr>
            <w:tcW w:w="2687" w:type="dxa"/>
            <w:tcBorders>
              <w:tl2br w:val="nil"/>
              <w:tr2bl w:val="nil"/>
            </w:tcBorders>
            <w:shd w:val="clear" w:color="auto" w:fill="auto"/>
            <w:noWrap/>
            <w:tcMar>
              <w:top w:w="15" w:type="dxa"/>
              <w:left w:w="15" w:type="dxa"/>
              <w:right w:w="15" w:type="dxa"/>
            </w:tcMar>
            <w:vAlign w:val="center"/>
          </w:tcPr>
          <w:p w14:paraId="0F33FB96">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snapToGrid w:val="0"/>
                <w:color w:val="000000"/>
                <w:kern w:val="0"/>
                <w:szCs w:val="21"/>
                <w:lang w:bidi="ar"/>
              </w:rPr>
              <w:t>蓄能器至手刹阀油管</w:t>
            </w:r>
          </w:p>
        </w:tc>
        <w:tc>
          <w:tcPr>
            <w:tcW w:w="415" w:type="dxa"/>
            <w:tcBorders>
              <w:tl2br w:val="nil"/>
              <w:tr2bl w:val="nil"/>
            </w:tcBorders>
            <w:shd w:val="clear" w:color="auto" w:fill="auto"/>
            <w:noWrap/>
            <w:tcMar>
              <w:top w:w="15" w:type="dxa"/>
              <w:left w:w="15" w:type="dxa"/>
              <w:right w:w="15" w:type="dxa"/>
            </w:tcMar>
            <w:vAlign w:val="center"/>
          </w:tcPr>
          <w:p w14:paraId="4338AE6B">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noWrap/>
            <w:tcMar>
              <w:top w:w="15" w:type="dxa"/>
              <w:left w:w="15" w:type="dxa"/>
              <w:right w:w="15" w:type="dxa"/>
            </w:tcMar>
            <w:vAlign w:val="center"/>
          </w:tcPr>
          <w:p w14:paraId="358993C2">
            <w:pPr>
              <w:widowControl/>
              <w:jc w:val="center"/>
              <w:rPr>
                <w:rFonts w:ascii="宋体" w:hAnsi="宋体" w:cs="宋体"/>
                <w:snapToGrid w:val="0"/>
                <w:color w:val="000000"/>
                <w:kern w:val="0"/>
                <w:szCs w:val="21"/>
                <w:lang w:bidi="ar"/>
              </w:rPr>
            </w:pPr>
          </w:p>
        </w:tc>
      </w:tr>
      <w:tr w14:paraId="7C930BB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33EBBBE1">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13</w:t>
            </w:r>
          </w:p>
        </w:tc>
        <w:tc>
          <w:tcPr>
            <w:tcW w:w="1361" w:type="dxa"/>
            <w:tcBorders>
              <w:tl2br w:val="nil"/>
              <w:tr2bl w:val="nil"/>
            </w:tcBorders>
            <w:shd w:val="clear" w:color="auto" w:fill="auto"/>
            <w:noWrap/>
            <w:tcMar>
              <w:top w:w="15" w:type="dxa"/>
              <w:left w:w="15" w:type="dxa"/>
              <w:right w:w="15" w:type="dxa"/>
            </w:tcMar>
            <w:vAlign w:val="center"/>
          </w:tcPr>
          <w:p w14:paraId="1E018E2E">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A51837.0290</w:t>
            </w:r>
          </w:p>
        </w:tc>
        <w:tc>
          <w:tcPr>
            <w:tcW w:w="2687" w:type="dxa"/>
            <w:vMerge w:val="restart"/>
            <w:tcBorders>
              <w:tl2br w:val="nil"/>
              <w:tr2bl w:val="nil"/>
            </w:tcBorders>
            <w:shd w:val="clear" w:color="auto" w:fill="auto"/>
            <w:noWrap/>
            <w:tcMar>
              <w:top w:w="15" w:type="dxa"/>
              <w:left w:w="15" w:type="dxa"/>
              <w:right w:w="15" w:type="dxa"/>
            </w:tcMar>
            <w:vAlign w:val="center"/>
          </w:tcPr>
          <w:p w14:paraId="4F1F9F18">
            <w:pPr>
              <w:jc w:val="center"/>
              <w:rPr>
                <w:rFonts w:ascii="宋体" w:hAnsi="宋体" w:cs="宋体"/>
                <w:snapToGrid w:val="0"/>
                <w:color w:val="000000"/>
                <w:kern w:val="0"/>
                <w:szCs w:val="21"/>
                <w:lang w:eastAsia="en-US"/>
              </w:rPr>
            </w:pPr>
            <w:r>
              <w:rPr>
                <w:rFonts w:hint="eastAsia" w:ascii="宋体" w:hAnsi="宋体" w:cs="宋体"/>
                <w:szCs w:val="21"/>
              </w:rPr>
              <w:t>更换</w:t>
            </w:r>
            <w:r>
              <w:rPr>
                <w:rFonts w:hint="eastAsia" w:ascii="宋体" w:hAnsi="宋体" w:cs="宋体"/>
                <w:color w:val="000000"/>
                <w:szCs w:val="21"/>
              </w:rPr>
              <w:t>伺服制动系统</w:t>
            </w:r>
          </w:p>
        </w:tc>
        <w:tc>
          <w:tcPr>
            <w:tcW w:w="415" w:type="dxa"/>
            <w:vMerge w:val="restart"/>
            <w:tcBorders>
              <w:tl2br w:val="nil"/>
              <w:tr2bl w:val="nil"/>
            </w:tcBorders>
            <w:shd w:val="clear" w:color="auto" w:fill="auto"/>
            <w:noWrap/>
            <w:tcMar>
              <w:top w:w="15" w:type="dxa"/>
              <w:left w:w="15" w:type="dxa"/>
              <w:right w:w="15" w:type="dxa"/>
            </w:tcMar>
            <w:vAlign w:val="center"/>
          </w:tcPr>
          <w:p w14:paraId="51607EF6">
            <w:pPr>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val="en-US" w:eastAsia="zh-CN" w:bidi="ar"/>
              </w:rPr>
              <w:t>3</w:t>
            </w:r>
          </w:p>
        </w:tc>
        <w:tc>
          <w:tcPr>
            <w:tcW w:w="1387" w:type="dxa"/>
            <w:vMerge w:val="restart"/>
            <w:tcBorders>
              <w:tl2br w:val="nil"/>
              <w:tr2bl w:val="nil"/>
            </w:tcBorders>
            <w:shd w:val="clear" w:color="auto" w:fill="auto"/>
            <w:noWrap/>
            <w:tcMar>
              <w:top w:w="15" w:type="dxa"/>
              <w:left w:w="15" w:type="dxa"/>
              <w:right w:w="15" w:type="dxa"/>
            </w:tcMar>
            <w:vAlign w:val="center"/>
          </w:tcPr>
          <w:p w14:paraId="6B4B598A">
            <w:pPr>
              <w:widowControl/>
              <w:jc w:val="center"/>
              <w:rPr>
                <w:rFonts w:ascii="宋体" w:hAnsi="宋体" w:cs="宋体"/>
                <w:snapToGrid w:val="0"/>
                <w:color w:val="000000"/>
                <w:kern w:val="0"/>
                <w:szCs w:val="21"/>
                <w:lang w:bidi="ar"/>
              </w:rPr>
            </w:pPr>
          </w:p>
        </w:tc>
      </w:tr>
      <w:tr w14:paraId="15ACF5E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06C13CE3">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14</w:t>
            </w:r>
          </w:p>
        </w:tc>
        <w:tc>
          <w:tcPr>
            <w:tcW w:w="1361" w:type="dxa"/>
            <w:tcBorders>
              <w:tl2br w:val="nil"/>
              <w:tr2bl w:val="nil"/>
            </w:tcBorders>
            <w:shd w:val="clear" w:color="auto" w:fill="auto"/>
            <w:noWrap/>
            <w:tcMar>
              <w:top w:w="15" w:type="dxa"/>
              <w:left w:w="15" w:type="dxa"/>
              <w:right w:w="15" w:type="dxa"/>
            </w:tcMar>
            <w:vAlign w:val="center"/>
          </w:tcPr>
          <w:p w14:paraId="69045CAE">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A51837.0320</w:t>
            </w:r>
          </w:p>
        </w:tc>
        <w:tc>
          <w:tcPr>
            <w:tcW w:w="2687" w:type="dxa"/>
            <w:vMerge w:val="continue"/>
            <w:tcBorders>
              <w:tl2br w:val="nil"/>
              <w:tr2bl w:val="nil"/>
            </w:tcBorders>
            <w:shd w:val="clear" w:color="auto" w:fill="auto"/>
            <w:noWrap/>
            <w:tcMar>
              <w:top w:w="15" w:type="dxa"/>
              <w:left w:w="15" w:type="dxa"/>
              <w:right w:w="15" w:type="dxa"/>
            </w:tcMar>
            <w:vAlign w:val="center"/>
          </w:tcPr>
          <w:p w14:paraId="2CA63B38">
            <w:pPr>
              <w:jc w:val="center"/>
              <w:rPr>
                <w:rFonts w:ascii="宋体" w:hAnsi="宋体" w:cs="宋体"/>
                <w:snapToGrid w:val="0"/>
                <w:color w:val="000000"/>
                <w:kern w:val="0"/>
                <w:szCs w:val="21"/>
                <w:lang w:eastAsia="en-US"/>
              </w:rPr>
            </w:pPr>
          </w:p>
        </w:tc>
        <w:tc>
          <w:tcPr>
            <w:tcW w:w="415" w:type="dxa"/>
            <w:vMerge w:val="continue"/>
            <w:tcBorders>
              <w:tl2br w:val="nil"/>
              <w:tr2bl w:val="nil"/>
            </w:tcBorders>
            <w:shd w:val="clear" w:color="auto" w:fill="auto"/>
            <w:noWrap/>
            <w:tcMar>
              <w:top w:w="15" w:type="dxa"/>
              <w:left w:w="15" w:type="dxa"/>
              <w:right w:w="15" w:type="dxa"/>
            </w:tcMar>
            <w:vAlign w:val="center"/>
          </w:tcPr>
          <w:p w14:paraId="2245FBEB">
            <w:pPr>
              <w:jc w:val="center"/>
              <w:rPr>
                <w:rFonts w:ascii="宋体" w:hAnsi="宋体" w:cs="宋体"/>
                <w:snapToGrid w:val="0"/>
                <w:color w:val="000000"/>
                <w:kern w:val="0"/>
                <w:szCs w:val="21"/>
                <w:lang w:eastAsia="en-US"/>
              </w:rPr>
            </w:pPr>
          </w:p>
        </w:tc>
        <w:tc>
          <w:tcPr>
            <w:tcW w:w="1387" w:type="dxa"/>
            <w:vMerge w:val="continue"/>
            <w:tcBorders>
              <w:tl2br w:val="nil"/>
              <w:tr2bl w:val="nil"/>
            </w:tcBorders>
            <w:shd w:val="clear" w:color="auto" w:fill="auto"/>
            <w:noWrap/>
            <w:tcMar>
              <w:top w:w="15" w:type="dxa"/>
              <w:left w:w="15" w:type="dxa"/>
              <w:right w:w="15" w:type="dxa"/>
            </w:tcMar>
            <w:vAlign w:val="center"/>
          </w:tcPr>
          <w:p w14:paraId="7C1242A6">
            <w:pPr>
              <w:widowControl/>
              <w:jc w:val="center"/>
              <w:rPr>
                <w:rFonts w:ascii="宋体" w:hAnsi="宋体" w:cs="宋体"/>
                <w:snapToGrid w:val="0"/>
                <w:color w:val="000000"/>
                <w:kern w:val="0"/>
                <w:szCs w:val="21"/>
                <w:lang w:bidi="ar"/>
              </w:rPr>
            </w:pPr>
          </w:p>
        </w:tc>
      </w:tr>
      <w:tr w14:paraId="6388E8B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34F466E0">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15</w:t>
            </w:r>
          </w:p>
        </w:tc>
        <w:tc>
          <w:tcPr>
            <w:tcW w:w="1361" w:type="dxa"/>
            <w:tcBorders>
              <w:tl2br w:val="nil"/>
              <w:tr2bl w:val="nil"/>
            </w:tcBorders>
            <w:shd w:val="clear" w:color="auto" w:fill="auto"/>
            <w:noWrap/>
            <w:tcMar>
              <w:top w:w="15" w:type="dxa"/>
              <w:left w:w="15" w:type="dxa"/>
              <w:right w:w="15" w:type="dxa"/>
            </w:tcMar>
            <w:vAlign w:val="center"/>
          </w:tcPr>
          <w:p w14:paraId="08F9D453">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A51841.0300</w:t>
            </w:r>
          </w:p>
        </w:tc>
        <w:tc>
          <w:tcPr>
            <w:tcW w:w="2687" w:type="dxa"/>
            <w:vMerge w:val="continue"/>
            <w:tcBorders>
              <w:tl2br w:val="nil"/>
              <w:tr2bl w:val="nil"/>
            </w:tcBorders>
            <w:shd w:val="clear" w:color="auto" w:fill="auto"/>
            <w:noWrap/>
            <w:tcMar>
              <w:top w:w="15" w:type="dxa"/>
              <w:left w:w="15" w:type="dxa"/>
              <w:right w:w="15" w:type="dxa"/>
            </w:tcMar>
            <w:vAlign w:val="center"/>
          </w:tcPr>
          <w:p w14:paraId="046B634F">
            <w:pPr>
              <w:jc w:val="center"/>
              <w:rPr>
                <w:rFonts w:ascii="宋体" w:hAnsi="宋体" w:cs="宋体"/>
                <w:snapToGrid w:val="0"/>
                <w:color w:val="000000"/>
                <w:kern w:val="0"/>
                <w:szCs w:val="21"/>
                <w:lang w:eastAsia="en-US"/>
              </w:rPr>
            </w:pPr>
          </w:p>
        </w:tc>
        <w:tc>
          <w:tcPr>
            <w:tcW w:w="415" w:type="dxa"/>
            <w:vMerge w:val="continue"/>
            <w:tcBorders>
              <w:tl2br w:val="nil"/>
              <w:tr2bl w:val="nil"/>
            </w:tcBorders>
            <w:shd w:val="clear" w:color="auto" w:fill="auto"/>
            <w:noWrap/>
            <w:tcMar>
              <w:top w:w="15" w:type="dxa"/>
              <w:left w:w="15" w:type="dxa"/>
              <w:right w:w="15" w:type="dxa"/>
            </w:tcMar>
            <w:vAlign w:val="center"/>
          </w:tcPr>
          <w:p w14:paraId="7EAC3EAF">
            <w:pPr>
              <w:widowControl/>
              <w:jc w:val="center"/>
              <w:rPr>
                <w:rFonts w:ascii="宋体" w:hAnsi="宋体" w:cs="宋体"/>
                <w:snapToGrid w:val="0"/>
                <w:color w:val="000000"/>
                <w:kern w:val="0"/>
                <w:szCs w:val="21"/>
                <w:lang w:eastAsia="en-US"/>
              </w:rPr>
            </w:pPr>
          </w:p>
        </w:tc>
        <w:tc>
          <w:tcPr>
            <w:tcW w:w="1387" w:type="dxa"/>
            <w:vMerge w:val="continue"/>
            <w:tcBorders>
              <w:tl2br w:val="nil"/>
              <w:tr2bl w:val="nil"/>
            </w:tcBorders>
            <w:shd w:val="clear" w:color="auto" w:fill="auto"/>
            <w:noWrap/>
            <w:tcMar>
              <w:top w:w="15" w:type="dxa"/>
              <w:left w:w="15" w:type="dxa"/>
              <w:right w:w="15" w:type="dxa"/>
            </w:tcMar>
            <w:vAlign w:val="center"/>
          </w:tcPr>
          <w:p w14:paraId="313A3CDA">
            <w:pPr>
              <w:widowControl/>
              <w:jc w:val="center"/>
              <w:rPr>
                <w:rFonts w:ascii="宋体" w:hAnsi="宋体" w:cs="宋体"/>
                <w:snapToGrid w:val="0"/>
                <w:color w:val="000000"/>
                <w:kern w:val="0"/>
                <w:szCs w:val="21"/>
                <w:lang w:bidi="ar"/>
              </w:rPr>
            </w:pPr>
          </w:p>
        </w:tc>
      </w:tr>
      <w:tr w14:paraId="483914D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62B21740">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16</w:t>
            </w:r>
          </w:p>
        </w:tc>
        <w:tc>
          <w:tcPr>
            <w:tcW w:w="1361" w:type="dxa"/>
            <w:tcBorders>
              <w:tl2br w:val="nil"/>
              <w:tr2bl w:val="nil"/>
            </w:tcBorders>
            <w:shd w:val="clear" w:color="auto" w:fill="auto"/>
            <w:noWrap/>
            <w:tcMar>
              <w:top w:w="15" w:type="dxa"/>
              <w:left w:w="15" w:type="dxa"/>
              <w:right w:w="15" w:type="dxa"/>
            </w:tcMar>
            <w:vAlign w:val="center"/>
          </w:tcPr>
          <w:p w14:paraId="70928A95">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A51794.0315</w:t>
            </w:r>
          </w:p>
        </w:tc>
        <w:tc>
          <w:tcPr>
            <w:tcW w:w="2687" w:type="dxa"/>
            <w:tcBorders>
              <w:tl2br w:val="nil"/>
              <w:tr2bl w:val="nil"/>
            </w:tcBorders>
            <w:shd w:val="clear" w:color="auto" w:fill="auto"/>
            <w:noWrap/>
            <w:tcMar>
              <w:top w:w="15" w:type="dxa"/>
              <w:left w:w="15" w:type="dxa"/>
              <w:right w:w="15" w:type="dxa"/>
            </w:tcMar>
            <w:vAlign w:val="center"/>
          </w:tcPr>
          <w:p w14:paraId="2F58DDCC">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方向机回油管</w:t>
            </w:r>
          </w:p>
        </w:tc>
        <w:tc>
          <w:tcPr>
            <w:tcW w:w="415" w:type="dxa"/>
            <w:tcBorders>
              <w:tl2br w:val="nil"/>
              <w:tr2bl w:val="nil"/>
            </w:tcBorders>
            <w:shd w:val="clear" w:color="auto" w:fill="auto"/>
            <w:noWrap/>
            <w:tcMar>
              <w:top w:w="15" w:type="dxa"/>
              <w:left w:w="15" w:type="dxa"/>
              <w:right w:w="15" w:type="dxa"/>
            </w:tcMar>
            <w:vAlign w:val="center"/>
          </w:tcPr>
          <w:p w14:paraId="1D0D43EB">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noWrap/>
            <w:tcMar>
              <w:top w:w="15" w:type="dxa"/>
              <w:left w:w="15" w:type="dxa"/>
              <w:right w:w="15" w:type="dxa"/>
            </w:tcMar>
            <w:vAlign w:val="center"/>
          </w:tcPr>
          <w:p w14:paraId="133A01B3">
            <w:pPr>
              <w:widowControl/>
              <w:jc w:val="center"/>
              <w:rPr>
                <w:rFonts w:ascii="宋体" w:hAnsi="宋体" w:cs="宋体"/>
                <w:snapToGrid w:val="0"/>
                <w:color w:val="000000"/>
                <w:kern w:val="0"/>
                <w:szCs w:val="21"/>
                <w:lang w:bidi="ar"/>
              </w:rPr>
            </w:pPr>
          </w:p>
        </w:tc>
      </w:tr>
      <w:tr w14:paraId="0256CD8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4335868B">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17</w:t>
            </w:r>
          </w:p>
        </w:tc>
        <w:tc>
          <w:tcPr>
            <w:tcW w:w="1361" w:type="dxa"/>
            <w:tcBorders>
              <w:tl2br w:val="nil"/>
              <w:tr2bl w:val="nil"/>
            </w:tcBorders>
            <w:shd w:val="clear" w:color="auto" w:fill="auto"/>
            <w:noWrap/>
            <w:tcMar>
              <w:top w:w="15" w:type="dxa"/>
              <w:left w:w="15" w:type="dxa"/>
              <w:right w:w="15" w:type="dxa"/>
            </w:tcMar>
            <w:vAlign w:val="center"/>
          </w:tcPr>
          <w:p w14:paraId="3AF5DEEF">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A51794.0280</w:t>
            </w:r>
          </w:p>
        </w:tc>
        <w:tc>
          <w:tcPr>
            <w:tcW w:w="2687" w:type="dxa"/>
            <w:tcBorders>
              <w:tl2br w:val="nil"/>
              <w:tr2bl w:val="nil"/>
            </w:tcBorders>
            <w:shd w:val="clear" w:color="auto" w:fill="auto"/>
            <w:noWrap/>
            <w:tcMar>
              <w:top w:w="15" w:type="dxa"/>
              <w:left w:w="15" w:type="dxa"/>
              <w:right w:w="15" w:type="dxa"/>
            </w:tcMar>
            <w:vAlign w:val="center"/>
          </w:tcPr>
          <w:p w14:paraId="062C8426">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方向机进油管</w:t>
            </w:r>
          </w:p>
        </w:tc>
        <w:tc>
          <w:tcPr>
            <w:tcW w:w="415" w:type="dxa"/>
            <w:tcBorders>
              <w:tl2br w:val="nil"/>
              <w:tr2bl w:val="nil"/>
            </w:tcBorders>
            <w:shd w:val="clear" w:color="auto" w:fill="auto"/>
            <w:noWrap/>
            <w:tcMar>
              <w:top w:w="15" w:type="dxa"/>
              <w:left w:w="15" w:type="dxa"/>
              <w:right w:w="15" w:type="dxa"/>
            </w:tcMar>
            <w:vAlign w:val="center"/>
          </w:tcPr>
          <w:p w14:paraId="2F65A0D4">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noWrap/>
            <w:tcMar>
              <w:top w:w="15" w:type="dxa"/>
              <w:left w:w="15" w:type="dxa"/>
              <w:right w:w="15" w:type="dxa"/>
            </w:tcMar>
            <w:vAlign w:val="center"/>
          </w:tcPr>
          <w:p w14:paraId="7C70BA2C">
            <w:pPr>
              <w:widowControl/>
              <w:jc w:val="center"/>
              <w:rPr>
                <w:rFonts w:ascii="宋体" w:hAnsi="宋体" w:cs="宋体"/>
                <w:snapToGrid w:val="0"/>
                <w:color w:val="000000"/>
                <w:kern w:val="0"/>
                <w:szCs w:val="21"/>
                <w:lang w:bidi="ar"/>
              </w:rPr>
            </w:pPr>
          </w:p>
        </w:tc>
      </w:tr>
      <w:tr w14:paraId="428959D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65343FC1">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18</w:t>
            </w:r>
          </w:p>
        </w:tc>
        <w:tc>
          <w:tcPr>
            <w:tcW w:w="1361" w:type="dxa"/>
            <w:tcBorders>
              <w:tl2br w:val="nil"/>
              <w:tr2bl w:val="nil"/>
            </w:tcBorders>
            <w:shd w:val="clear" w:color="auto" w:fill="auto"/>
            <w:noWrap/>
            <w:tcMar>
              <w:top w:w="15" w:type="dxa"/>
              <w:left w:w="15" w:type="dxa"/>
              <w:right w:w="15" w:type="dxa"/>
            </w:tcMar>
            <w:vAlign w:val="center"/>
          </w:tcPr>
          <w:p w14:paraId="3DFB1FC4">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A51826.0275</w:t>
            </w:r>
          </w:p>
        </w:tc>
        <w:tc>
          <w:tcPr>
            <w:tcW w:w="2687" w:type="dxa"/>
            <w:tcBorders>
              <w:tl2br w:val="nil"/>
              <w:tr2bl w:val="nil"/>
            </w:tcBorders>
            <w:shd w:val="clear" w:color="auto" w:fill="auto"/>
            <w:noWrap/>
            <w:tcMar>
              <w:top w:w="15" w:type="dxa"/>
              <w:left w:w="15" w:type="dxa"/>
              <w:right w:w="15" w:type="dxa"/>
            </w:tcMar>
            <w:vAlign w:val="center"/>
          </w:tcPr>
          <w:p w14:paraId="566D281D">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方向机控制油管</w:t>
            </w:r>
          </w:p>
        </w:tc>
        <w:tc>
          <w:tcPr>
            <w:tcW w:w="415" w:type="dxa"/>
            <w:tcBorders>
              <w:tl2br w:val="nil"/>
              <w:tr2bl w:val="nil"/>
            </w:tcBorders>
            <w:shd w:val="clear" w:color="auto" w:fill="auto"/>
            <w:noWrap/>
            <w:tcMar>
              <w:top w:w="15" w:type="dxa"/>
              <w:left w:w="15" w:type="dxa"/>
              <w:right w:w="15" w:type="dxa"/>
            </w:tcMar>
            <w:vAlign w:val="center"/>
          </w:tcPr>
          <w:p w14:paraId="4765F093">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noWrap/>
            <w:tcMar>
              <w:top w:w="15" w:type="dxa"/>
              <w:left w:w="15" w:type="dxa"/>
              <w:right w:w="15" w:type="dxa"/>
            </w:tcMar>
            <w:vAlign w:val="center"/>
          </w:tcPr>
          <w:p w14:paraId="40C4F326">
            <w:pPr>
              <w:widowControl/>
              <w:jc w:val="center"/>
              <w:rPr>
                <w:rFonts w:ascii="宋体" w:hAnsi="宋体" w:cs="宋体"/>
                <w:snapToGrid w:val="0"/>
                <w:color w:val="000000"/>
                <w:kern w:val="0"/>
                <w:szCs w:val="21"/>
                <w:lang w:bidi="ar"/>
              </w:rPr>
            </w:pPr>
          </w:p>
        </w:tc>
      </w:tr>
      <w:tr w14:paraId="5837442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3E1BF7AA">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19</w:t>
            </w:r>
          </w:p>
        </w:tc>
        <w:tc>
          <w:tcPr>
            <w:tcW w:w="1361" w:type="dxa"/>
            <w:tcBorders>
              <w:tl2br w:val="nil"/>
              <w:tr2bl w:val="nil"/>
            </w:tcBorders>
            <w:shd w:val="clear" w:color="auto" w:fill="auto"/>
            <w:noWrap/>
            <w:tcMar>
              <w:top w:w="15" w:type="dxa"/>
              <w:left w:w="15" w:type="dxa"/>
              <w:right w:w="15" w:type="dxa"/>
            </w:tcMar>
            <w:vAlign w:val="center"/>
          </w:tcPr>
          <w:p w14:paraId="63376D74">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A51825.0200</w:t>
            </w:r>
          </w:p>
        </w:tc>
        <w:tc>
          <w:tcPr>
            <w:tcW w:w="2687" w:type="dxa"/>
            <w:tcBorders>
              <w:tl2br w:val="nil"/>
              <w:tr2bl w:val="nil"/>
            </w:tcBorders>
            <w:noWrap/>
            <w:tcMar>
              <w:top w:w="15" w:type="dxa"/>
              <w:left w:w="15" w:type="dxa"/>
              <w:right w:w="15" w:type="dxa"/>
            </w:tcMar>
            <w:vAlign w:val="center"/>
          </w:tcPr>
          <w:p w14:paraId="45714DDC">
            <w:pPr>
              <w:widowControl/>
              <w:jc w:val="center"/>
              <w:rPr>
                <w:rFonts w:ascii="宋体" w:hAnsi="宋体" w:cs="宋体"/>
                <w:color w:val="000000"/>
                <w:szCs w:val="21"/>
              </w:rPr>
            </w:pPr>
            <w:r>
              <w:rPr>
                <w:rFonts w:hint="eastAsia" w:ascii="宋体" w:hAnsi="宋体" w:cs="宋体"/>
                <w:szCs w:val="21"/>
              </w:rPr>
              <w:t>更换</w:t>
            </w:r>
            <w:r>
              <w:rPr>
                <w:rFonts w:hint="eastAsia" w:ascii="宋体" w:hAnsi="宋体" w:cs="宋体"/>
                <w:color w:val="000000"/>
                <w:szCs w:val="21"/>
              </w:rPr>
              <w:t>方向机进油管细</w:t>
            </w:r>
          </w:p>
        </w:tc>
        <w:tc>
          <w:tcPr>
            <w:tcW w:w="415" w:type="dxa"/>
            <w:tcBorders>
              <w:tl2br w:val="nil"/>
              <w:tr2bl w:val="nil"/>
            </w:tcBorders>
            <w:shd w:val="clear" w:color="auto" w:fill="auto"/>
            <w:noWrap/>
            <w:tcMar>
              <w:top w:w="15" w:type="dxa"/>
              <w:left w:w="15" w:type="dxa"/>
              <w:right w:w="15" w:type="dxa"/>
            </w:tcMar>
            <w:vAlign w:val="center"/>
          </w:tcPr>
          <w:p w14:paraId="642AFA18">
            <w:pPr>
              <w:widowControl/>
              <w:jc w:val="center"/>
              <w:rPr>
                <w:rFonts w:ascii="宋体" w:hAnsi="宋体" w:cs="宋体"/>
                <w:color w:val="000000"/>
                <w:szCs w:val="21"/>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noWrap/>
            <w:tcMar>
              <w:top w:w="15" w:type="dxa"/>
              <w:left w:w="15" w:type="dxa"/>
              <w:right w:w="15" w:type="dxa"/>
            </w:tcMar>
            <w:vAlign w:val="center"/>
          </w:tcPr>
          <w:p w14:paraId="1C8EC026">
            <w:pPr>
              <w:jc w:val="center"/>
              <w:rPr>
                <w:rFonts w:ascii="宋体" w:hAnsi="宋体" w:cs="宋体"/>
                <w:snapToGrid w:val="0"/>
                <w:color w:val="000000"/>
                <w:kern w:val="0"/>
                <w:szCs w:val="21"/>
                <w:lang w:bidi="ar"/>
              </w:rPr>
            </w:pPr>
          </w:p>
        </w:tc>
      </w:tr>
      <w:tr w14:paraId="3218754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6504D78B">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20</w:t>
            </w:r>
          </w:p>
        </w:tc>
        <w:tc>
          <w:tcPr>
            <w:tcW w:w="1361" w:type="dxa"/>
            <w:tcBorders>
              <w:tl2br w:val="nil"/>
              <w:tr2bl w:val="nil"/>
            </w:tcBorders>
            <w:shd w:val="clear" w:color="auto" w:fill="auto"/>
            <w:noWrap/>
            <w:tcMar>
              <w:top w:w="15" w:type="dxa"/>
              <w:left w:w="15" w:type="dxa"/>
              <w:right w:w="15" w:type="dxa"/>
            </w:tcMar>
            <w:vAlign w:val="center"/>
          </w:tcPr>
          <w:p w14:paraId="0D625C84">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A52278.0120</w:t>
            </w:r>
          </w:p>
        </w:tc>
        <w:tc>
          <w:tcPr>
            <w:tcW w:w="2687" w:type="dxa"/>
            <w:tcBorders>
              <w:tl2br w:val="nil"/>
              <w:tr2bl w:val="nil"/>
            </w:tcBorders>
            <w:noWrap/>
            <w:tcMar>
              <w:top w:w="15" w:type="dxa"/>
              <w:left w:w="15" w:type="dxa"/>
              <w:right w:w="15" w:type="dxa"/>
            </w:tcMar>
            <w:vAlign w:val="center"/>
          </w:tcPr>
          <w:p w14:paraId="13F1E29F">
            <w:pPr>
              <w:widowControl/>
              <w:jc w:val="center"/>
              <w:rPr>
                <w:rFonts w:ascii="宋体" w:hAnsi="宋体" w:cs="宋体"/>
                <w:color w:val="000000"/>
                <w:szCs w:val="21"/>
              </w:rPr>
            </w:pPr>
            <w:r>
              <w:rPr>
                <w:rFonts w:hint="eastAsia" w:ascii="宋体" w:hAnsi="宋体" w:cs="宋体"/>
                <w:szCs w:val="21"/>
              </w:rPr>
              <w:t>更换</w:t>
            </w:r>
            <w:r>
              <w:rPr>
                <w:rFonts w:hint="eastAsia" w:ascii="宋体" w:hAnsi="宋体" w:cs="宋体"/>
                <w:color w:val="000000"/>
                <w:szCs w:val="21"/>
              </w:rPr>
              <w:t>优先阀至多路阀油管</w:t>
            </w:r>
          </w:p>
        </w:tc>
        <w:tc>
          <w:tcPr>
            <w:tcW w:w="415" w:type="dxa"/>
            <w:tcBorders>
              <w:tl2br w:val="nil"/>
              <w:tr2bl w:val="nil"/>
            </w:tcBorders>
            <w:shd w:val="clear" w:color="auto" w:fill="auto"/>
            <w:noWrap/>
            <w:tcMar>
              <w:top w:w="15" w:type="dxa"/>
              <w:left w:w="15" w:type="dxa"/>
              <w:right w:w="15" w:type="dxa"/>
            </w:tcMar>
            <w:vAlign w:val="center"/>
          </w:tcPr>
          <w:p w14:paraId="5E41892C">
            <w:pPr>
              <w:widowControl/>
              <w:jc w:val="center"/>
              <w:rPr>
                <w:rFonts w:ascii="宋体" w:hAnsi="宋体" w:cs="宋体"/>
                <w:color w:val="000000"/>
                <w:szCs w:val="21"/>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noWrap/>
            <w:tcMar>
              <w:top w:w="15" w:type="dxa"/>
              <w:left w:w="15" w:type="dxa"/>
              <w:right w:w="15" w:type="dxa"/>
            </w:tcMar>
            <w:vAlign w:val="center"/>
          </w:tcPr>
          <w:p w14:paraId="1DAFA345">
            <w:pPr>
              <w:jc w:val="center"/>
              <w:rPr>
                <w:rFonts w:ascii="宋体" w:hAnsi="宋体" w:cs="宋体"/>
                <w:color w:val="000000"/>
                <w:szCs w:val="21"/>
              </w:rPr>
            </w:pPr>
          </w:p>
        </w:tc>
      </w:tr>
      <w:tr w14:paraId="48AF75A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50A3B1BA">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21</w:t>
            </w:r>
          </w:p>
        </w:tc>
        <w:tc>
          <w:tcPr>
            <w:tcW w:w="1361" w:type="dxa"/>
            <w:tcBorders>
              <w:tl2br w:val="nil"/>
              <w:tr2bl w:val="nil"/>
            </w:tcBorders>
            <w:shd w:val="clear" w:color="auto" w:fill="auto"/>
            <w:noWrap/>
            <w:tcMar>
              <w:top w:w="15" w:type="dxa"/>
              <w:left w:w="15" w:type="dxa"/>
              <w:right w:w="15" w:type="dxa"/>
            </w:tcMar>
            <w:vAlign w:val="center"/>
          </w:tcPr>
          <w:p w14:paraId="723A939C">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A51821.0205</w:t>
            </w:r>
          </w:p>
        </w:tc>
        <w:tc>
          <w:tcPr>
            <w:tcW w:w="2687" w:type="dxa"/>
            <w:tcBorders>
              <w:tl2br w:val="nil"/>
              <w:tr2bl w:val="nil"/>
            </w:tcBorders>
            <w:noWrap/>
            <w:tcMar>
              <w:top w:w="15" w:type="dxa"/>
              <w:left w:w="15" w:type="dxa"/>
              <w:right w:w="15" w:type="dxa"/>
            </w:tcMar>
            <w:vAlign w:val="center"/>
          </w:tcPr>
          <w:p w14:paraId="6BDDB929">
            <w:pPr>
              <w:widowControl/>
              <w:jc w:val="center"/>
              <w:rPr>
                <w:rFonts w:ascii="宋体" w:hAnsi="宋体" w:cs="宋体"/>
                <w:color w:val="000000"/>
                <w:szCs w:val="21"/>
              </w:rPr>
            </w:pPr>
            <w:r>
              <w:rPr>
                <w:rFonts w:hint="eastAsia" w:ascii="宋体" w:hAnsi="宋体" w:cs="宋体"/>
                <w:szCs w:val="21"/>
              </w:rPr>
              <w:t>更换</w:t>
            </w:r>
            <w:r>
              <w:rPr>
                <w:rFonts w:hint="eastAsia" w:ascii="宋体" w:hAnsi="宋体" w:cs="宋体"/>
                <w:color w:val="000000"/>
                <w:szCs w:val="21"/>
              </w:rPr>
              <w:t>多路阀回油管</w:t>
            </w:r>
          </w:p>
        </w:tc>
        <w:tc>
          <w:tcPr>
            <w:tcW w:w="415" w:type="dxa"/>
            <w:tcBorders>
              <w:tl2br w:val="nil"/>
              <w:tr2bl w:val="nil"/>
            </w:tcBorders>
            <w:shd w:val="clear" w:color="auto" w:fill="auto"/>
            <w:noWrap/>
            <w:tcMar>
              <w:top w:w="15" w:type="dxa"/>
              <w:left w:w="15" w:type="dxa"/>
              <w:right w:w="15" w:type="dxa"/>
            </w:tcMar>
            <w:vAlign w:val="center"/>
          </w:tcPr>
          <w:p w14:paraId="774E9E30">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noWrap/>
            <w:tcMar>
              <w:top w:w="15" w:type="dxa"/>
              <w:left w:w="15" w:type="dxa"/>
              <w:right w:w="15" w:type="dxa"/>
            </w:tcMar>
            <w:vAlign w:val="center"/>
          </w:tcPr>
          <w:p w14:paraId="432A45C0">
            <w:pPr>
              <w:widowControl/>
              <w:jc w:val="center"/>
              <w:rPr>
                <w:rFonts w:ascii="宋体" w:hAnsi="宋体" w:cs="宋体"/>
                <w:snapToGrid w:val="0"/>
                <w:color w:val="000000"/>
                <w:kern w:val="0"/>
                <w:szCs w:val="21"/>
                <w:lang w:eastAsia="en-US"/>
              </w:rPr>
            </w:pPr>
          </w:p>
        </w:tc>
      </w:tr>
      <w:tr w14:paraId="3CEFC9F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5A47FF9D">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22</w:t>
            </w:r>
          </w:p>
        </w:tc>
        <w:tc>
          <w:tcPr>
            <w:tcW w:w="1361" w:type="dxa"/>
            <w:tcBorders>
              <w:tl2br w:val="nil"/>
              <w:tr2bl w:val="nil"/>
            </w:tcBorders>
            <w:shd w:val="clear" w:color="auto" w:fill="auto"/>
            <w:noWrap/>
            <w:tcMar>
              <w:top w:w="15" w:type="dxa"/>
              <w:left w:w="15" w:type="dxa"/>
              <w:right w:w="15" w:type="dxa"/>
            </w:tcMar>
            <w:vAlign w:val="center"/>
          </w:tcPr>
          <w:p w14:paraId="7326CE2E">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A51826.0075</w:t>
            </w:r>
          </w:p>
        </w:tc>
        <w:tc>
          <w:tcPr>
            <w:tcW w:w="2687" w:type="dxa"/>
            <w:tcBorders>
              <w:tl2br w:val="nil"/>
              <w:tr2bl w:val="nil"/>
            </w:tcBorders>
            <w:shd w:val="clear" w:color="auto" w:fill="auto"/>
            <w:noWrap/>
            <w:tcMar>
              <w:top w:w="15" w:type="dxa"/>
              <w:left w:w="15" w:type="dxa"/>
              <w:right w:w="15" w:type="dxa"/>
            </w:tcMar>
            <w:vAlign w:val="center"/>
          </w:tcPr>
          <w:p w14:paraId="6D49225B">
            <w:pPr>
              <w:widowControl/>
              <w:jc w:val="center"/>
              <w:rPr>
                <w:rFonts w:ascii="宋体" w:hAnsi="宋体" w:cs="宋体"/>
                <w:snapToGrid w:val="0"/>
                <w:color w:val="000000"/>
                <w:kern w:val="0"/>
                <w:szCs w:val="21"/>
                <w:lang w:eastAsia="en-US"/>
              </w:rPr>
            </w:pPr>
            <w:r>
              <w:rPr>
                <w:rFonts w:hint="eastAsia" w:ascii="宋体" w:hAnsi="宋体" w:cs="宋体"/>
                <w:szCs w:val="21"/>
              </w:rPr>
              <w:t>更换</w:t>
            </w:r>
            <w:r>
              <w:rPr>
                <w:rFonts w:hint="eastAsia" w:ascii="宋体" w:hAnsi="宋体" w:cs="宋体"/>
                <w:color w:val="000000"/>
                <w:szCs w:val="21"/>
              </w:rPr>
              <w:t>主阀连接控制阀油管</w:t>
            </w:r>
          </w:p>
        </w:tc>
        <w:tc>
          <w:tcPr>
            <w:tcW w:w="415" w:type="dxa"/>
            <w:tcBorders>
              <w:tl2br w:val="nil"/>
              <w:tr2bl w:val="nil"/>
            </w:tcBorders>
            <w:shd w:val="clear" w:color="auto" w:fill="auto"/>
            <w:noWrap/>
            <w:tcMar>
              <w:top w:w="15" w:type="dxa"/>
              <w:left w:w="15" w:type="dxa"/>
              <w:right w:w="15" w:type="dxa"/>
            </w:tcMar>
            <w:vAlign w:val="center"/>
          </w:tcPr>
          <w:p w14:paraId="708AB45C">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noWrap/>
            <w:tcMar>
              <w:top w:w="15" w:type="dxa"/>
              <w:left w:w="15" w:type="dxa"/>
              <w:right w:w="15" w:type="dxa"/>
            </w:tcMar>
            <w:vAlign w:val="center"/>
          </w:tcPr>
          <w:p w14:paraId="18B92B0E">
            <w:pPr>
              <w:widowControl/>
              <w:jc w:val="center"/>
              <w:rPr>
                <w:rFonts w:ascii="宋体" w:hAnsi="宋体" w:cs="宋体"/>
                <w:snapToGrid w:val="0"/>
                <w:color w:val="000000"/>
                <w:kern w:val="0"/>
                <w:szCs w:val="21"/>
                <w:lang w:bidi="ar"/>
              </w:rPr>
            </w:pPr>
          </w:p>
        </w:tc>
      </w:tr>
      <w:tr w14:paraId="6F7D2C9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0C5C9BB2">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23</w:t>
            </w:r>
          </w:p>
        </w:tc>
        <w:tc>
          <w:tcPr>
            <w:tcW w:w="1361" w:type="dxa"/>
            <w:tcBorders>
              <w:tl2br w:val="nil"/>
              <w:tr2bl w:val="nil"/>
            </w:tcBorders>
            <w:shd w:val="clear" w:color="auto" w:fill="auto"/>
            <w:noWrap/>
            <w:tcMar>
              <w:top w:w="15" w:type="dxa"/>
              <w:left w:w="15" w:type="dxa"/>
              <w:right w:w="15" w:type="dxa"/>
            </w:tcMar>
            <w:vAlign w:val="center"/>
          </w:tcPr>
          <w:p w14:paraId="1AC50D04">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A52133.0065</w:t>
            </w:r>
          </w:p>
        </w:tc>
        <w:tc>
          <w:tcPr>
            <w:tcW w:w="2687" w:type="dxa"/>
            <w:tcBorders>
              <w:tl2br w:val="nil"/>
              <w:tr2bl w:val="nil"/>
            </w:tcBorders>
            <w:shd w:val="clear" w:color="auto" w:fill="auto"/>
            <w:noWrap/>
            <w:tcMar>
              <w:top w:w="15" w:type="dxa"/>
              <w:left w:w="15" w:type="dxa"/>
              <w:right w:w="15" w:type="dxa"/>
            </w:tcMar>
            <w:vAlign w:val="center"/>
          </w:tcPr>
          <w:p w14:paraId="764E3CF7">
            <w:pPr>
              <w:widowControl/>
              <w:jc w:val="center"/>
              <w:rPr>
                <w:rFonts w:ascii="宋体" w:hAnsi="宋体" w:cs="宋体"/>
                <w:snapToGrid w:val="0"/>
                <w:color w:val="000000"/>
                <w:kern w:val="0"/>
                <w:szCs w:val="21"/>
                <w:lang w:eastAsia="en-US"/>
              </w:rPr>
            </w:pPr>
            <w:r>
              <w:rPr>
                <w:rFonts w:hint="eastAsia" w:ascii="宋体" w:hAnsi="宋体" w:cs="宋体"/>
                <w:szCs w:val="21"/>
              </w:rPr>
              <w:t>更换</w:t>
            </w:r>
            <w:r>
              <w:rPr>
                <w:rFonts w:hint="eastAsia" w:ascii="宋体" w:hAnsi="宋体" w:cs="宋体"/>
                <w:color w:val="000000"/>
                <w:szCs w:val="21"/>
              </w:rPr>
              <w:t>液压主泵至油箱油管</w:t>
            </w:r>
          </w:p>
        </w:tc>
        <w:tc>
          <w:tcPr>
            <w:tcW w:w="415" w:type="dxa"/>
            <w:tcBorders>
              <w:tl2br w:val="nil"/>
              <w:tr2bl w:val="nil"/>
            </w:tcBorders>
            <w:shd w:val="clear" w:color="auto" w:fill="auto"/>
            <w:noWrap/>
            <w:tcMar>
              <w:top w:w="15" w:type="dxa"/>
              <w:left w:w="15" w:type="dxa"/>
              <w:right w:w="15" w:type="dxa"/>
            </w:tcMar>
            <w:vAlign w:val="center"/>
          </w:tcPr>
          <w:p w14:paraId="3F8D069E">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noWrap/>
            <w:tcMar>
              <w:top w:w="15" w:type="dxa"/>
              <w:left w:w="15" w:type="dxa"/>
              <w:right w:w="15" w:type="dxa"/>
            </w:tcMar>
            <w:vAlign w:val="center"/>
          </w:tcPr>
          <w:p w14:paraId="1BDD55D3">
            <w:pPr>
              <w:widowControl/>
              <w:jc w:val="center"/>
              <w:rPr>
                <w:rFonts w:ascii="宋体" w:hAnsi="宋体" w:cs="宋体"/>
                <w:snapToGrid w:val="0"/>
                <w:color w:val="000000"/>
                <w:kern w:val="0"/>
                <w:szCs w:val="21"/>
                <w:lang w:bidi="ar"/>
              </w:rPr>
            </w:pPr>
          </w:p>
        </w:tc>
      </w:tr>
      <w:tr w14:paraId="0715ED6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4EDE14CD">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24</w:t>
            </w:r>
          </w:p>
        </w:tc>
        <w:tc>
          <w:tcPr>
            <w:tcW w:w="1361" w:type="dxa"/>
            <w:tcBorders>
              <w:tl2br w:val="nil"/>
              <w:tr2bl w:val="nil"/>
            </w:tcBorders>
            <w:shd w:val="clear" w:color="auto" w:fill="auto"/>
            <w:noWrap/>
            <w:tcMar>
              <w:top w:w="15" w:type="dxa"/>
              <w:left w:w="15" w:type="dxa"/>
              <w:right w:w="15" w:type="dxa"/>
            </w:tcMar>
            <w:vAlign w:val="center"/>
          </w:tcPr>
          <w:p w14:paraId="676B910F">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A52133.0073</w:t>
            </w:r>
          </w:p>
        </w:tc>
        <w:tc>
          <w:tcPr>
            <w:tcW w:w="2687" w:type="dxa"/>
            <w:tcBorders>
              <w:tl2br w:val="nil"/>
              <w:tr2bl w:val="nil"/>
            </w:tcBorders>
            <w:shd w:val="clear" w:color="auto" w:fill="auto"/>
            <w:noWrap/>
            <w:tcMar>
              <w:top w:w="15" w:type="dxa"/>
              <w:left w:w="15" w:type="dxa"/>
              <w:right w:w="15" w:type="dxa"/>
            </w:tcMar>
            <w:vAlign w:val="center"/>
          </w:tcPr>
          <w:p w14:paraId="03DA4491">
            <w:pPr>
              <w:widowControl/>
              <w:jc w:val="center"/>
              <w:rPr>
                <w:rFonts w:ascii="宋体" w:hAnsi="宋体" w:cs="宋体"/>
                <w:snapToGrid w:val="0"/>
                <w:color w:val="000000"/>
                <w:kern w:val="0"/>
                <w:szCs w:val="21"/>
                <w:lang w:eastAsia="en-US"/>
              </w:rPr>
            </w:pPr>
            <w:r>
              <w:rPr>
                <w:rFonts w:hint="eastAsia" w:ascii="宋体" w:hAnsi="宋体" w:cs="宋体"/>
                <w:szCs w:val="21"/>
              </w:rPr>
              <w:t>更换</w:t>
            </w:r>
            <w:r>
              <w:rPr>
                <w:rFonts w:hint="eastAsia" w:ascii="宋体" w:hAnsi="宋体" w:cs="宋体"/>
                <w:color w:val="000000"/>
                <w:szCs w:val="21"/>
              </w:rPr>
              <w:t>液压主泵至油箱油管</w:t>
            </w:r>
          </w:p>
        </w:tc>
        <w:tc>
          <w:tcPr>
            <w:tcW w:w="415" w:type="dxa"/>
            <w:tcBorders>
              <w:tl2br w:val="nil"/>
              <w:tr2bl w:val="nil"/>
            </w:tcBorders>
            <w:shd w:val="clear" w:color="auto" w:fill="auto"/>
            <w:noWrap/>
            <w:tcMar>
              <w:top w:w="15" w:type="dxa"/>
              <w:left w:w="15" w:type="dxa"/>
              <w:right w:w="15" w:type="dxa"/>
            </w:tcMar>
            <w:vAlign w:val="center"/>
          </w:tcPr>
          <w:p w14:paraId="26B46865">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noWrap/>
            <w:tcMar>
              <w:top w:w="15" w:type="dxa"/>
              <w:left w:w="15" w:type="dxa"/>
              <w:right w:w="15" w:type="dxa"/>
            </w:tcMar>
            <w:vAlign w:val="center"/>
          </w:tcPr>
          <w:p w14:paraId="7AB20832">
            <w:pPr>
              <w:widowControl/>
              <w:jc w:val="center"/>
              <w:rPr>
                <w:rFonts w:ascii="宋体" w:hAnsi="宋体" w:cs="宋体"/>
                <w:snapToGrid w:val="0"/>
                <w:color w:val="000000"/>
                <w:kern w:val="0"/>
                <w:szCs w:val="21"/>
                <w:lang w:bidi="ar"/>
              </w:rPr>
            </w:pPr>
          </w:p>
        </w:tc>
      </w:tr>
      <w:tr w14:paraId="7C07B0B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3F8519B0">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25</w:t>
            </w:r>
          </w:p>
        </w:tc>
        <w:tc>
          <w:tcPr>
            <w:tcW w:w="1361" w:type="dxa"/>
            <w:tcBorders>
              <w:tl2br w:val="nil"/>
              <w:tr2bl w:val="nil"/>
            </w:tcBorders>
            <w:shd w:val="clear" w:color="auto" w:fill="auto"/>
            <w:noWrap/>
            <w:tcMar>
              <w:top w:w="15" w:type="dxa"/>
              <w:left w:w="15" w:type="dxa"/>
              <w:right w:w="15" w:type="dxa"/>
            </w:tcMar>
            <w:vAlign w:val="center"/>
          </w:tcPr>
          <w:p w14:paraId="451BB509">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A52129.0070</w:t>
            </w:r>
          </w:p>
        </w:tc>
        <w:tc>
          <w:tcPr>
            <w:tcW w:w="2687" w:type="dxa"/>
            <w:tcBorders>
              <w:tl2br w:val="nil"/>
              <w:tr2bl w:val="nil"/>
            </w:tcBorders>
            <w:shd w:val="clear" w:color="auto" w:fill="auto"/>
            <w:noWrap/>
            <w:tcMar>
              <w:top w:w="15" w:type="dxa"/>
              <w:left w:w="15" w:type="dxa"/>
              <w:right w:w="15" w:type="dxa"/>
            </w:tcMar>
            <w:vAlign w:val="center"/>
          </w:tcPr>
          <w:p w14:paraId="195D1384">
            <w:pPr>
              <w:widowControl/>
              <w:jc w:val="center"/>
              <w:rPr>
                <w:rFonts w:ascii="宋体" w:hAnsi="宋体" w:cs="宋体"/>
                <w:snapToGrid w:val="0"/>
                <w:color w:val="000000"/>
                <w:kern w:val="0"/>
                <w:szCs w:val="21"/>
                <w:lang w:eastAsia="en-US"/>
              </w:rPr>
            </w:pPr>
            <w:r>
              <w:rPr>
                <w:rFonts w:hint="eastAsia" w:ascii="宋体" w:hAnsi="宋体" w:cs="宋体"/>
                <w:szCs w:val="21"/>
              </w:rPr>
              <w:t>更换</w:t>
            </w:r>
            <w:r>
              <w:rPr>
                <w:rFonts w:hint="eastAsia" w:ascii="宋体" w:hAnsi="宋体" w:cs="宋体"/>
                <w:color w:val="000000"/>
                <w:szCs w:val="21"/>
              </w:rPr>
              <w:t>液压刹车泵至油箱油管</w:t>
            </w:r>
          </w:p>
        </w:tc>
        <w:tc>
          <w:tcPr>
            <w:tcW w:w="415" w:type="dxa"/>
            <w:tcBorders>
              <w:tl2br w:val="nil"/>
              <w:tr2bl w:val="nil"/>
            </w:tcBorders>
            <w:shd w:val="clear" w:color="auto" w:fill="auto"/>
            <w:noWrap/>
            <w:tcMar>
              <w:top w:w="15" w:type="dxa"/>
              <w:left w:w="15" w:type="dxa"/>
              <w:right w:w="15" w:type="dxa"/>
            </w:tcMar>
            <w:vAlign w:val="center"/>
          </w:tcPr>
          <w:p w14:paraId="24BC9840">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noWrap/>
            <w:tcMar>
              <w:top w:w="15" w:type="dxa"/>
              <w:left w:w="15" w:type="dxa"/>
              <w:right w:w="15" w:type="dxa"/>
            </w:tcMar>
            <w:vAlign w:val="center"/>
          </w:tcPr>
          <w:p w14:paraId="371B013B">
            <w:pPr>
              <w:widowControl/>
              <w:jc w:val="center"/>
              <w:rPr>
                <w:rFonts w:ascii="宋体" w:hAnsi="宋体" w:cs="宋体"/>
                <w:snapToGrid w:val="0"/>
                <w:color w:val="000000"/>
                <w:kern w:val="0"/>
                <w:szCs w:val="21"/>
                <w:lang w:bidi="ar"/>
              </w:rPr>
            </w:pPr>
          </w:p>
        </w:tc>
      </w:tr>
      <w:tr w14:paraId="79521B4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52153BBE">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26</w:t>
            </w:r>
          </w:p>
        </w:tc>
        <w:tc>
          <w:tcPr>
            <w:tcW w:w="1361" w:type="dxa"/>
            <w:tcBorders>
              <w:tl2br w:val="nil"/>
              <w:tr2bl w:val="nil"/>
            </w:tcBorders>
            <w:shd w:val="clear" w:color="auto" w:fill="auto"/>
            <w:noWrap/>
            <w:tcMar>
              <w:top w:w="15" w:type="dxa"/>
              <w:left w:w="15" w:type="dxa"/>
              <w:right w:w="15" w:type="dxa"/>
            </w:tcMar>
            <w:vAlign w:val="center"/>
          </w:tcPr>
          <w:p w14:paraId="7E04724F">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A51990.0140</w:t>
            </w:r>
          </w:p>
        </w:tc>
        <w:tc>
          <w:tcPr>
            <w:tcW w:w="2687" w:type="dxa"/>
            <w:tcBorders>
              <w:tl2br w:val="nil"/>
              <w:tr2bl w:val="nil"/>
            </w:tcBorders>
            <w:shd w:val="clear" w:color="auto" w:fill="auto"/>
            <w:noWrap/>
            <w:tcMar>
              <w:top w:w="15" w:type="dxa"/>
              <w:left w:w="15" w:type="dxa"/>
              <w:right w:w="15" w:type="dxa"/>
            </w:tcMar>
            <w:vAlign w:val="center"/>
          </w:tcPr>
          <w:p w14:paraId="059B8D72">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多路阀至油箱油管</w:t>
            </w:r>
          </w:p>
        </w:tc>
        <w:tc>
          <w:tcPr>
            <w:tcW w:w="415" w:type="dxa"/>
            <w:tcBorders>
              <w:tl2br w:val="nil"/>
              <w:tr2bl w:val="nil"/>
            </w:tcBorders>
            <w:shd w:val="clear" w:color="auto" w:fill="auto"/>
            <w:noWrap/>
            <w:tcMar>
              <w:top w:w="15" w:type="dxa"/>
              <w:left w:w="15" w:type="dxa"/>
              <w:right w:w="15" w:type="dxa"/>
            </w:tcMar>
            <w:vAlign w:val="center"/>
          </w:tcPr>
          <w:p w14:paraId="4A13DB6F">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noWrap/>
            <w:tcMar>
              <w:top w:w="15" w:type="dxa"/>
              <w:left w:w="15" w:type="dxa"/>
              <w:right w:w="15" w:type="dxa"/>
            </w:tcMar>
            <w:vAlign w:val="center"/>
          </w:tcPr>
          <w:p w14:paraId="712F3745">
            <w:pPr>
              <w:widowControl/>
              <w:jc w:val="center"/>
              <w:rPr>
                <w:rFonts w:ascii="宋体" w:hAnsi="宋体" w:cs="宋体"/>
                <w:snapToGrid w:val="0"/>
                <w:color w:val="000000"/>
                <w:kern w:val="0"/>
                <w:szCs w:val="21"/>
                <w:lang w:bidi="ar"/>
              </w:rPr>
            </w:pPr>
          </w:p>
        </w:tc>
      </w:tr>
      <w:tr w14:paraId="3A7ED69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7F94107E">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27</w:t>
            </w:r>
          </w:p>
        </w:tc>
        <w:tc>
          <w:tcPr>
            <w:tcW w:w="1361" w:type="dxa"/>
            <w:tcBorders>
              <w:tl2br w:val="nil"/>
              <w:tr2bl w:val="nil"/>
            </w:tcBorders>
            <w:shd w:val="clear" w:color="auto" w:fill="auto"/>
            <w:noWrap/>
            <w:tcMar>
              <w:top w:w="15" w:type="dxa"/>
              <w:left w:w="15" w:type="dxa"/>
              <w:right w:w="15" w:type="dxa"/>
            </w:tcMar>
            <w:vAlign w:val="center"/>
          </w:tcPr>
          <w:p w14:paraId="1C4C4C8A">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A51990.0125</w:t>
            </w:r>
          </w:p>
        </w:tc>
        <w:tc>
          <w:tcPr>
            <w:tcW w:w="2687" w:type="dxa"/>
            <w:tcBorders>
              <w:tl2br w:val="nil"/>
              <w:tr2bl w:val="nil"/>
            </w:tcBorders>
            <w:shd w:val="clear" w:color="auto" w:fill="auto"/>
            <w:noWrap/>
            <w:tcMar>
              <w:top w:w="15" w:type="dxa"/>
              <w:left w:w="15" w:type="dxa"/>
              <w:right w:w="15" w:type="dxa"/>
            </w:tcMar>
            <w:vAlign w:val="center"/>
          </w:tcPr>
          <w:p w14:paraId="61D3D126">
            <w:pPr>
              <w:widowControl/>
              <w:jc w:val="center"/>
              <w:rPr>
                <w:rFonts w:ascii="宋体" w:hAnsi="宋体" w:cs="宋体"/>
                <w:snapToGrid w:val="0"/>
                <w:color w:val="000000"/>
                <w:kern w:val="0"/>
                <w:szCs w:val="21"/>
                <w:lang w:eastAsia="en-US"/>
              </w:rPr>
            </w:pPr>
            <w:r>
              <w:rPr>
                <w:rFonts w:hint="eastAsia" w:ascii="宋体" w:hAnsi="宋体" w:cs="宋体"/>
                <w:szCs w:val="21"/>
              </w:rPr>
              <w:t>更换</w:t>
            </w:r>
            <w:r>
              <w:rPr>
                <w:rFonts w:hint="eastAsia" w:ascii="宋体" w:hAnsi="宋体" w:cs="宋体"/>
                <w:color w:val="000000"/>
                <w:szCs w:val="21"/>
              </w:rPr>
              <w:t>液压刹车泵至油箱油管</w:t>
            </w:r>
          </w:p>
        </w:tc>
        <w:tc>
          <w:tcPr>
            <w:tcW w:w="415" w:type="dxa"/>
            <w:tcBorders>
              <w:tl2br w:val="nil"/>
              <w:tr2bl w:val="nil"/>
            </w:tcBorders>
            <w:shd w:val="clear" w:color="auto" w:fill="auto"/>
            <w:noWrap/>
            <w:tcMar>
              <w:top w:w="15" w:type="dxa"/>
              <w:left w:w="15" w:type="dxa"/>
              <w:right w:w="15" w:type="dxa"/>
            </w:tcMar>
            <w:vAlign w:val="center"/>
          </w:tcPr>
          <w:p w14:paraId="38835652">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noWrap/>
            <w:tcMar>
              <w:top w:w="15" w:type="dxa"/>
              <w:left w:w="15" w:type="dxa"/>
              <w:right w:w="15" w:type="dxa"/>
            </w:tcMar>
            <w:vAlign w:val="center"/>
          </w:tcPr>
          <w:p w14:paraId="694F11BC">
            <w:pPr>
              <w:widowControl/>
              <w:jc w:val="center"/>
              <w:rPr>
                <w:rFonts w:ascii="宋体" w:hAnsi="宋体" w:cs="宋体"/>
                <w:snapToGrid w:val="0"/>
                <w:color w:val="000000"/>
                <w:kern w:val="0"/>
                <w:szCs w:val="21"/>
                <w:lang w:bidi="ar"/>
              </w:rPr>
            </w:pPr>
          </w:p>
        </w:tc>
      </w:tr>
      <w:tr w14:paraId="6E6418F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79B0EBDD">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28</w:t>
            </w:r>
          </w:p>
        </w:tc>
        <w:tc>
          <w:tcPr>
            <w:tcW w:w="1361" w:type="dxa"/>
            <w:tcBorders>
              <w:tl2br w:val="nil"/>
              <w:tr2bl w:val="nil"/>
            </w:tcBorders>
            <w:shd w:val="clear" w:color="auto" w:fill="auto"/>
            <w:noWrap/>
            <w:tcMar>
              <w:top w:w="15" w:type="dxa"/>
              <w:left w:w="15" w:type="dxa"/>
              <w:right w:w="15" w:type="dxa"/>
            </w:tcMar>
            <w:vAlign w:val="center"/>
          </w:tcPr>
          <w:p w14:paraId="4E9D7677">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A51826.0180</w:t>
            </w:r>
          </w:p>
        </w:tc>
        <w:tc>
          <w:tcPr>
            <w:tcW w:w="2687" w:type="dxa"/>
            <w:tcBorders>
              <w:tl2br w:val="nil"/>
              <w:tr2bl w:val="nil"/>
            </w:tcBorders>
            <w:shd w:val="clear" w:color="auto" w:fill="auto"/>
            <w:noWrap/>
            <w:tcMar>
              <w:top w:w="15" w:type="dxa"/>
              <w:left w:w="15" w:type="dxa"/>
              <w:right w:w="15" w:type="dxa"/>
            </w:tcMar>
            <w:vAlign w:val="center"/>
          </w:tcPr>
          <w:p w14:paraId="04B2670F">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多路阀至油箱油管</w:t>
            </w:r>
          </w:p>
        </w:tc>
        <w:tc>
          <w:tcPr>
            <w:tcW w:w="415" w:type="dxa"/>
            <w:tcBorders>
              <w:tl2br w:val="nil"/>
              <w:tr2bl w:val="nil"/>
            </w:tcBorders>
            <w:shd w:val="clear" w:color="auto" w:fill="auto"/>
            <w:noWrap/>
            <w:tcMar>
              <w:top w:w="15" w:type="dxa"/>
              <w:left w:w="15" w:type="dxa"/>
              <w:right w:w="15" w:type="dxa"/>
            </w:tcMar>
            <w:vAlign w:val="center"/>
          </w:tcPr>
          <w:p w14:paraId="2DDA7384">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noWrap/>
            <w:tcMar>
              <w:top w:w="15" w:type="dxa"/>
              <w:left w:w="15" w:type="dxa"/>
              <w:right w:w="15" w:type="dxa"/>
            </w:tcMar>
            <w:vAlign w:val="center"/>
          </w:tcPr>
          <w:p w14:paraId="078F4109">
            <w:pPr>
              <w:widowControl/>
              <w:jc w:val="center"/>
              <w:rPr>
                <w:rFonts w:ascii="宋体" w:hAnsi="宋体" w:cs="宋体"/>
                <w:snapToGrid w:val="0"/>
                <w:color w:val="000000"/>
                <w:kern w:val="0"/>
                <w:szCs w:val="21"/>
                <w:lang w:bidi="ar"/>
              </w:rPr>
            </w:pPr>
          </w:p>
        </w:tc>
      </w:tr>
      <w:tr w14:paraId="2C5FBF0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1786651B">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29</w:t>
            </w:r>
          </w:p>
        </w:tc>
        <w:tc>
          <w:tcPr>
            <w:tcW w:w="1361" w:type="dxa"/>
            <w:tcBorders>
              <w:tl2br w:val="nil"/>
              <w:tr2bl w:val="nil"/>
            </w:tcBorders>
            <w:shd w:val="clear" w:color="auto" w:fill="auto"/>
            <w:tcMar>
              <w:top w:w="15" w:type="dxa"/>
              <w:left w:w="15" w:type="dxa"/>
              <w:right w:w="15" w:type="dxa"/>
            </w:tcMar>
            <w:vAlign w:val="center"/>
          </w:tcPr>
          <w:p w14:paraId="0844CF8F">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A52212.0140</w:t>
            </w:r>
          </w:p>
        </w:tc>
        <w:tc>
          <w:tcPr>
            <w:tcW w:w="2687" w:type="dxa"/>
            <w:tcBorders>
              <w:tl2br w:val="nil"/>
              <w:tr2bl w:val="nil"/>
            </w:tcBorders>
            <w:shd w:val="clear" w:color="auto" w:fill="auto"/>
            <w:noWrap/>
            <w:tcMar>
              <w:top w:w="15" w:type="dxa"/>
              <w:left w:w="15" w:type="dxa"/>
              <w:right w:w="15" w:type="dxa"/>
            </w:tcMar>
            <w:vAlign w:val="center"/>
          </w:tcPr>
          <w:p w14:paraId="6609E5F2">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液压泵至多路阀进油管</w:t>
            </w:r>
          </w:p>
        </w:tc>
        <w:tc>
          <w:tcPr>
            <w:tcW w:w="415" w:type="dxa"/>
            <w:tcBorders>
              <w:tl2br w:val="nil"/>
              <w:tr2bl w:val="nil"/>
            </w:tcBorders>
            <w:shd w:val="clear" w:color="auto" w:fill="auto"/>
            <w:tcMar>
              <w:top w:w="15" w:type="dxa"/>
              <w:left w:w="15" w:type="dxa"/>
              <w:right w:w="15" w:type="dxa"/>
            </w:tcMar>
            <w:vAlign w:val="center"/>
          </w:tcPr>
          <w:p w14:paraId="4679CA88">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tcMar>
              <w:top w:w="15" w:type="dxa"/>
              <w:left w:w="15" w:type="dxa"/>
              <w:right w:w="15" w:type="dxa"/>
            </w:tcMar>
            <w:vAlign w:val="center"/>
          </w:tcPr>
          <w:p w14:paraId="0901EEC2">
            <w:pPr>
              <w:widowControl/>
              <w:jc w:val="center"/>
              <w:rPr>
                <w:rFonts w:ascii="宋体" w:hAnsi="宋体" w:cs="宋体"/>
                <w:snapToGrid w:val="0"/>
                <w:color w:val="000000"/>
                <w:kern w:val="0"/>
                <w:szCs w:val="21"/>
                <w:lang w:bidi="ar"/>
              </w:rPr>
            </w:pPr>
          </w:p>
        </w:tc>
      </w:tr>
      <w:tr w14:paraId="5BC543D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5DB9A944">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30</w:t>
            </w:r>
          </w:p>
        </w:tc>
        <w:tc>
          <w:tcPr>
            <w:tcW w:w="1361" w:type="dxa"/>
            <w:tcBorders>
              <w:tl2br w:val="nil"/>
              <w:tr2bl w:val="nil"/>
            </w:tcBorders>
            <w:shd w:val="clear" w:color="auto" w:fill="auto"/>
            <w:tcMar>
              <w:top w:w="15" w:type="dxa"/>
              <w:left w:w="15" w:type="dxa"/>
              <w:right w:w="15" w:type="dxa"/>
            </w:tcMar>
            <w:vAlign w:val="center"/>
          </w:tcPr>
          <w:p w14:paraId="4E7610B3">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A52278.0095</w:t>
            </w:r>
          </w:p>
        </w:tc>
        <w:tc>
          <w:tcPr>
            <w:tcW w:w="2687" w:type="dxa"/>
            <w:tcBorders>
              <w:tl2br w:val="nil"/>
              <w:tr2bl w:val="nil"/>
            </w:tcBorders>
            <w:shd w:val="clear" w:color="auto" w:fill="auto"/>
            <w:noWrap/>
            <w:tcMar>
              <w:top w:w="15" w:type="dxa"/>
              <w:left w:w="15" w:type="dxa"/>
              <w:right w:w="15" w:type="dxa"/>
            </w:tcMar>
            <w:vAlign w:val="center"/>
          </w:tcPr>
          <w:p w14:paraId="008B96F7">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液压副泵至优先阀进油管</w:t>
            </w:r>
          </w:p>
        </w:tc>
        <w:tc>
          <w:tcPr>
            <w:tcW w:w="415" w:type="dxa"/>
            <w:tcBorders>
              <w:tl2br w:val="nil"/>
              <w:tr2bl w:val="nil"/>
            </w:tcBorders>
            <w:shd w:val="clear" w:color="auto" w:fill="auto"/>
            <w:tcMar>
              <w:top w:w="15" w:type="dxa"/>
              <w:left w:w="15" w:type="dxa"/>
              <w:right w:w="15" w:type="dxa"/>
            </w:tcMar>
            <w:vAlign w:val="center"/>
          </w:tcPr>
          <w:p w14:paraId="66728916">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tcMar>
              <w:top w:w="15" w:type="dxa"/>
              <w:left w:w="15" w:type="dxa"/>
              <w:right w:w="15" w:type="dxa"/>
            </w:tcMar>
            <w:vAlign w:val="center"/>
          </w:tcPr>
          <w:p w14:paraId="49801D67">
            <w:pPr>
              <w:widowControl/>
              <w:jc w:val="center"/>
              <w:rPr>
                <w:rFonts w:ascii="宋体" w:hAnsi="宋体" w:cs="宋体"/>
                <w:snapToGrid w:val="0"/>
                <w:color w:val="000000"/>
                <w:kern w:val="0"/>
                <w:szCs w:val="21"/>
                <w:lang w:bidi="ar"/>
              </w:rPr>
            </w:pPr>
          </w:p>
        </w:tc>
      </w:tr>
      <w:tr w14:paraId="1212447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4FDE3FB4">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31</w:t>
            </w:r>
          </w:p>
        </w:tc>
        <w:tc>
          <w:tcPr>
            <w:tcW w:w="1361" w:type="dxa"/>
            <w:tcBorders>
              <w:tl2br w:val="nil"/>
              <w:tr2bl w:val="nil"/>
            </w:tcBorders>
            <w:shd w:val="clear" w:color="auto" w:fill="auto"/>
            <w:tcMar>
              <w:top w:w="15" w:type="dxa"/>
              <w:left w:w="15" w:type="dxa"/>
              <w:right w:w="15" w:type="dxa"/>
            </w:tcMar>
            <w:vAlign w:val="center"/>
          </w:tcPr>
          <w:p w14:paraId="2F1039A3">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A51794.0080</w:t>
            </w:r>
          </w:p>
        </w:tc>
        <w:tc>
          <w:tcPr>
            <w:tcW w:w="2687" w:type="dxa"/>
            <w:tcBorders>
              <w:tl2br w:val="nil"/>
              <w:tr2bl w:val="nil"/>
            </w:tcBorders>
            <w:shd w:val="clear" w:color="auto" w:fill="auto"/>
            <w:noWrap/>
            <w:tcMar>
              <w:top w:w="15" w:type="dxa"/>
              <w:left w:w="15" w:type="dxa"/>
              <w:right w:w="15" w:type="dxa"/>
            </w:tcMar>
            <w:vAlign w:val="center"/>
          </w:tcPr>
          <w:p w14:paraId="117F0CF1">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多路阀至门架进油管3A4B</w:t>
            </w:r>
          </w:p>
        </w:tc>
        <w:tc>
          <w:tcPr>
            <w:tcW w:w="415" w:type="dxa"/>
            <w:tcBorders>
              <w:tl2br w:val="nil"/>
              <w:tr2bl w:val="nil"/>
            </w:tcBorders>
            <w:shd w:val="clear" w:color="auto" w:fill="auto"/>
            <w:tcMar>
              <w:top w:w="15" w:type="dxa"/>
              <w:left w:w="15" w:type="dxa"/>
              <w:right w:w="15" w:type="dxa"/>
            </w:tcMar>
            <w:vAlign w:val="center"/>
          </w:tcPr>
          <w:p w14:paraId="3DDB251A">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2</w:t>
            </w:r>
          </w:p>
        </w:tc>
        <w:tc>
          <w:tcPr>
            <w:tcW w:w="1387" w:type="dxa"/>
            <w:tcBorders>
              <w:tl2br w:val="nil"/>
              <w:tr2bl w:val="nil"/>
            </w:tcBorders>
            <w:shd w:val="clear" w:color="auto" w:fill="auto"/>
            <w:tcMar>
              <w:top w:w="15" w:type="dxa"/>
              <w:left w:w="15" w:type="dxa"/>
              <w:right w:w="15" w:type="dxa"/>
            </w:tcMar>
            <w:vAlign w:val="center"/>
          </w:tcPr>
          <w:p w14:paraId="38D64C5E">
            <w:pPr>
              <w:widowControl/>
              <w:jc w:val="center"/>
              <w:rPr>
                <w:rFonts w:ascii="宋体" w:hAnsi="宋体" w:cs="宋体"/>
                <w:snapToGrid w:val="0"/>
                <w:color w:val="000000"/>
                <w:kern w:val="0"/>
                <w:szCs w:val="21"/>
                <w:lang w:bidi="ar"/>
              </w:rPr>
            </w:pPr>
          </w:p>
        </w:tc>
      </w:tr>
      <w:tr w14:paraId="664DFAC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3719EC2E">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32</w:t>
            </w:r>
          </w:p>
        </w:tc>
        <w:tc>
          <w:tcPr>
            <w:tcW w:w="1361" w:type="dxa"/>
            <w:tcBorders>
              <w:tl2br w:val="nil"/>
              <w:tr2bl w:val="nil"/>
            </w:tcBorders>
            <w:shd w:val="clear" w:color="auto" w:fill="auto"/>
            <w:tcMar>
              <w:top w:w="15" w:type="dxa"/>
              <w:left w:w="15" w:type="dxa"/>
              <w:right w:w="15" w:type="dxa"/>
            </w:tcMar>
            <w:vAlign w:val="center"/>
          </w:tcPr>
          <w:p w14:paraId="10AFCFCE">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A51794.0095</w:t>
            </w:r>
          </w:p>
        </w:tc>
        <w:tc>
          <w:tcPr>
            <w:tcW w:w="2687" w:type="dxa"/>
            <w:tcBorders>
              <w:tl2br w:val="nil"/>
              <w:tr2bl w:val="nil"/>
            </w:tcBorders>
            <w:shd w:val="clear" w:color="auto" w:fill="auto"/>
            <w:noWrap/>
            <w:tcMar>
              <w:top w:w="15" w:type="dxa"/>
              <w:left w:w="15" w:type="dxa"/>
              <w:right w:w="15" w:type="dxa"/>
            </w:tcMar>
            <w:vAlign w:val="center"/>
          </w:tcPr>
          <w:p w14:paraId="30B847B1">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多路阀至门架进油管3B</w:t>
            </w:r>
          </w:p>
        </w:tc>
        <w:tc>
          <w:tcPr>
            <w:tcW w:w="415" w:type="dxa"/>
            <w:tcBorders>
              <w:tl2br w:val="nil"/>
              <w:tr2bl w:val="nil"/>
            </w:tcBorders>
            <w:shd w:val="clear" w:color="auto" w:fill="auto"/>
            <w:tcMar>
              <w:top w:w="15" w:type="dxa"/>
              <w:left w:w="15" w:type="dxa"/>
              <w:right w:w="15" w:type="dxa"/>
            </w:tcMar>
            <w:vAlign w:val="center"/>
          </w:tcPr>
          <w:p w14:paraId="3A8E2713">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tcMar>
              <w:top w:w="15" w:type="dxa"/>
              <w:left w:w="15" w:type="dxa"/>
              <w:right w:w="15" w:type="dxa"/>
            </w:tcMar>
            <w:vAlign w:val="center"/>
          </w:tcPr>
          <w:p w14:paraId="316D9DE7">
            <w:pPr>
              <w:widowControl/>
              <w:jc w:val="center"/>
              <w:rPr>
                <w:rFonts w:ascii="宋体" w:hAnsi="宋体" w:cs="宋体"/>
                <w:snapToGrid w:val="0"/>
                <w:color w:val="000000"/>
                <w:kern w:val="0"/>
                <w:szCs w:val="21"/>
                <w:lang w:bidi="ar"/>
              </w:rPr>
            </w:pPr>
          </w:p>
        </w:tc>
      </w:tr>
      <w:tr w14:paraId="47622DA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1C18604D">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33</w:t>
            </w:r>
          </w:p>
        </w:tc>
        <w:tc>
          <w:tcPr>
            <w:tcW w:w="1361" w:type="dxa"/>
            <w:tcBorders>
              <w:tl2br w:val="nil"/>
              <w:tr2bl w:val="nil"/>
            </w:tcBorders>
            <w:shd w:val="clear" w:color="auto" w:fill="auto"/>
            <w:tcMar>
              <w:top w:w="15" w:type="dxa"/>
              <w:left w:w="15" w:type="dxa"/>
              <w:right w:w="15" w:type="dxa"/>
            </w:tcMar>
            <w:vAlign w:val="center"/>
          </w:tcPr>
          <w:p w14:paraId="13BA6CF3">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A51794.0070</w:t>
            </w:r>
          </w:p>
        </w:tc>
        <w:tc>
          <w:tcPr>
            <w:tcW w:w="2687" w:type="dxa"/>
            <w:tcBorders>
              <w:tl2br w:val="nil"/>
              <w:tr2bl w:val="nil"/>
            </w:tcBorders>
            <w:shd w:val="clear" w:color="auto" w:fill="auto"/>
            <w:noWrap/>
            <w:tcMar>
              <w:top w:w="15" w:type="dxa"/>
              <w:left w:w="15" w:type="dxa"/>
              <w:right w:w="15" w:type="dxa"/>
            </w:tcMar>
            <w:vAlign w:val="center"/>
          </w:tcPr>
          <w:p w14:paraId="697B5AB1">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多路阀至门架进油管4A</w:t>
            </w:r>
          </w:p>
        </w:tc>
        <w:tc>
          <w:tcPr>
            <w:tcW w:w="415" w:type="dxa"/>
            <w:tcBorders>
              <w:tl2br w:val="nil"/>
              <w:tr2bl w:val="nil"/>
            </w:tcBorders>
            <w:shd w:val="clear" w:color="auto" w:fill="auto"/>
            <w:tcMar>
              <w:top w:w="15" w:type="dxa"/>
              <w:left w:w="15" w:type="dxa"/>
              <w:right w:w="15" w:type="dxa"/>
            </w:tcMar>
            <w:vAlign w:val="center"/>
          </w:tcPr>
          <w:p w14:paraId="66FB4693">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tcMar>
              <w:top w:w="15" w:type="dxa"/>
              <w:left w:w="15" w:type="dxa"/>
              <w:right w:w="15" w:type="dxa"/>
            </w:tcMar>
            <w:vAlign w:val="center"/>
          </w:tcPr>
          <w:p w14:paraId="227A3EA1">
            <w:pPr>
              <w:widowControl/>
              <w:jc w:val="center"/>
              <w:rPr>
                <w:rFonts w:ascii="宋体" w:hAnsi="宋体" w:cs="宋体"/>
                <w:snapToGrid w:val="0"/>
                <w:color w:val="000000"/>
                <w:kern w:val="0"/>
                <w:szCs w:val="21"/>
                <w:lang w:bidi="ar"/>
              </w:rPr>
            </w:pPr>
          </w:p>
        </w:tc>
      </w:tr>
      <w:tr w14:paraId="53F7225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363EC869">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34</w:t>
            </w:r>
          </w:p>
        </w:tc>
        <w:tc>
          <w:tcPr>
            <w:tcW w:w="1361" w:type="dxa"/>
            <w:tcBorders>
              <w:tl2br w:val="nil"/>
              <w:tr2bl w:val="nil"/>
            </w:tcBorders>
            <w:shd w:val="clear" w:color="auto" w:fill="auto"/>
            <w:tcMar>
              <w:top w:w="15" w:type="dxa"/>
              <w:left w:w="15" w:type="dxa"/>
              <w:right w:w="15" w:type="dxa"/>
            </w:tcMar>
            <w:vAlign w:val="center"/>
          </w:tcPr>
          <w:p w14:paraId="3715BD9C">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A51795.0185</w:t>
            </w:r>
          </w:p>
        </w:tc>
        <w:tc>
          <w:tcPr>
            <w:tcW w:w="2687" w:type="dxa"/>
            <w:tcBorders>
              <w:tl2br w:val="nil"/>
              <w:tr2bl w:val="nil"/>
            </w:tcBorders>
            <w:shd w:val="clear" w:color="auto" w:fill="auto"/>
            <w:noWrap/>
            <w:tcMar>
              <w:top w:w="15" w:type="dxa"/>
              <w:left w:w="15" w:type="dxa"/>
              <w:right w:w="15" w:type="dxa"/>
            </w:tcMar>
            <w:vAlign w:val="center"/>
          </w:tcPr>
          <w:p w14:paraId="7118E50E">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门架至溢流阀进油管</w:t>
            </w:r>
          </w:p>
        </w:tc>
        <w:tc>
          <w:tcPr>
            <w:tcW w:w="415" w:type="dxa"/>
            <w:tcBorders>
              <w:tl2br w:val="nil"/>
              <w:tr2bl w:val="nil"/>
            </w:tcBorders>
            <w:shd w:val="clear" w:color="auto" w:fill="auto"/>
            <w:tcMar>
              <w:top w:w="15" w:type="dxa"/>
              <w:left w:w="15" w:type="dxa"/>
              <w:right w:w="15" w:type="dxa"/>
            </w:tcMar>
            <w:vAlign w:val="center"/>
          </w:tcPr>
          <w:p w14:paraId="145ABBEB">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tcMar>
              <w:top w:w="15" w:type="dxa"/>
              <w:left w:w="15" w:type="dxa"/>
              <w:right w:w="15" w:type="dxa"/>
            </w:tcMar>
            <w:vAlign w:val="center"/>
          </w:tcPr>
          <w:p w14:paraId="36247BE7">
            <w:pPr>
              <w:widowControl/>
              <w:jc w:val="center"/>
              <w:rPr>
                <w:rFonts w:ascii="宋体" w:hAnsi="宋体" w:cs="宋体"/>
                <w:snapToGrid w:val="0"/>
                <w:color w:val="000000"/>
                <w:kern w:val="0"/>
                <w:szCs w:val="21"/>
                <w:lang w:bidi="ar"/>
              </w:rPr>
            </w:pPr>
          </w:p>
        </w:tc>
      </w:tr>
      <w:tr w14:paraId="4D1EABD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540A6F3F">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35</w:t>
            </w:r>
          </w:p>
        </w:tc>
        <w:tc>
          <w:tcPr>
            <w:tcW w:w="1361" w:type="dxa"/>
            <w:tcBorders>
              <w:tl2br w:val="nil"/>
              <w:tr2bl w:val="nil"/>
            </w:tcBorders>
            <w:shd w:val="clear" w:color="auto" w:fill="auto"/>
            <w:tcMar>
              <w:top w:w="15" w:type="dxa"/>
              <w:left w:w="15" w:type="dxa"/>
              <w:right w:w="15" w:type="dxa"/>
            </w:tcMar>
            <w:vAlign w:val="center"/>
          </w:tcPr>
          <w:p w14:paraId="1D42C14A">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A51795.0050</w:t>
            </w:r>
          </w:p>
        </w:tc>
        <w:tc>
          <w:tcPr>
            <w:tcW w:w="2687" w:type="dxa"/>
            <w:tcBorders>
              <w:tl2br w:val="nil"/>
              <w:tr2bl w:val="nil"/>
            </w:tcBorders>
            <w:shd w:val="clear" w:color="auto" w:fill="auto"/>
            <w:noWrap/>
            <w:tcMar>
              <w:top w:w="15" w:type="dxa"/>
              <w:left w:w="15" w:type="dxa"/>
              <w:right w:w="15" w:type="dxa"/>
            </w:tcMar>
            <w:vAlign w:val="center"/>
          </w:tcPr>
          <w:p w14:paraId="6DF7511C">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起升油缸通管</w:t>
            </w:r>
          </w:p>
        </w:tc>
        <w:tc>
          <w:tcPr>
            <w:tcW w:w="415" w:type="dxa"/>
            <w:tcBorders>
              <w:tl2br w:val="nil"/>
              <w:tr2bl w:val="nil"/>
            </w:tcBorders>
            <w:shd w:val="clear" w:color="auto" w:fill="auto"/>
            <w:tcMar>
              <w:top w:w="15" w:type="dxa"/>
              <w:left w:w="15" w:type="dxa"/>
              <w:right w:w="15" w:type="dxa"/>
            </w:tcMar>
            <w:vAlign w:val="center"/>
          </w:tcPr>
          <w:p w14:paraId="04C80483">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tcMar>
              <w:top w:w="15" w:type="dxa"/>
              <w:left w:w="15" w:type="dxa"/>
              <w:right w:w="15" w:type="dxa"/>
            </w:tcMar>
            <w:vAlign w:val="center"/>
          </w:tcPr>
          <w:p w14:paraId="53A78D82">
            <w:pPr>
              <w:widowControl/>
              <w:jc w:val="center"/>
              <w:rPr>
                <w:rFonts w:ascii="宋体" w:hAnsi="宋体" w:cs="宋体"/>
                <w:snapToGrid w:val="0"/>
                <w:color w:val="000000"/>
                <w:kern w:val="0"/>
                <w:szCs w:val="21"/>
                <w:lang w:bidi="ar"/>
              </w:rPr>
            </w:pPr>
          </w:p>
        </w:tc>
      </w:tr>
      <w:tr w14:paraId="33D57ED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592A0AD0">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36</w:t>
            </w:r>
          </w:p>
        </w:tc>
        <w:tc>
          <w:tcPr>
            <w:tcW w:w="1361" w:type="dxa"/>
            <w:tcBorders>
              <w:tl2br w:val="nil"/>
              <w:tr2bl w:val="nil"/>
            </w:tcBorders>
            <w:shd w:val="clear" w:color="auto" w:fill="auto"/>
            <w:tcMar>
              <w:top w:w="15" w:type="dxa"/>
              <w:left w:w="15" w:type="dxa"/>
              <w:right w:w="15" w:type="dxa"/>
            </w:tcMar>
            <w:vAlign w:val="center"/>
          </w:tcPr>
          <w:p w14:paraId="7542923C">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A51795.0065</w:t>
            </w:r>
          </w:p>
        </w:tc>
        <w:tc>
          <w:tcPr>
            <w:tcW w:w="2687" w:type="dxa"/>
            <w:tcBorders>
              <w:tl2br w:val="nil"/>
              <w:tr2bl w:val="nil"/>
            </w:tcBorders>
            <w:shd w:val="clear" w:color="auto" w:fill="auto"/>
            <w:noWrap/>
            <w:tcMar>
              <w:top w:w="15" w:type="dxa"/>
              <w:left w:w="15" w:type="dxa"/>
              <w:right w:w="15" w:type="dxa"/>
            </w:tcMar>
            <w:vAlign w:val="center"/>
          </w:tcPr>
          <w:p w14:paraId="4F14869E">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起升溢流阀至起升油缸油管</w:t>
            </w:r>
          </w:p>
        </w:tc>
        <w:tc>
          <w:tcPr>
            <w:tcW w:w="415" w:type="dxa"/>
            <w:tcBorders>
              <w:tl2br w:val="nil"/>
              <w:tr2bl w:val="nil"/>
            </w:tcBorders>
            <w:shd w:val="clear" w:color="auto" w:fill="auto"/>
            <w:tcMar>
              <w:top w:w="15" w:type="dxa"/>
              <w:left w:w="15" w:type="dxa"/>
              <w:right w:w="15" w:type="dxa"/>
            </w:tcMar>
            <w:vAlign w:val="center"/>
          </w:tcPr>
          <w:p w14:paraId="71F9D2FB">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tcMar>
              <w:top w:w="15" w:type="dxa"/>
              <w:left w:w="15" w:type="dxa"/>
              <w:right w:w="15" w:type="dxa"/>
            </w:tcMar>
            <w:vAlign w:val="center"/>
          </w:tcPr>
          <w:p w14:paraId="39073958">
            <w:pPr>
              <w:widowControl/>
              <w:jc w:val="center"/>
              <w:rPr>
                <w:rFonts w:ascii="宋体" w:hAnsi="宋体" w:cs="宋体"/>
                <w:snapToGrid w:val="0"/>
                <w:color w:val="000000"/>
                <w:kern w:val="0"/>
                <w:szCs w:val="21"/>
                <w:lang w:bidi="ar"/>
              </w:rPr>
            </w:pPr>
          </w:p>
        </w:tc>
      </w:tr>
      <w:tr w14:paraId="1FC403E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28DE1C54">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37</w:t>
            </w:r>
          </w:p>
        </w:tc>
        <w:tc>
          <w:tcPr>
            <w:tcW w:w="1361" w:type="dxa"/>
            <w:tcBorders>
              <w:tl2br w:val="nil"/>
              <w:tr2bl w:val="nil"/>
            </w:tcBorders>
            <w:shd w:val="clear" w:color="auto" w:fill="auto"/>
            <w:tcMar>
              <w:top w:w="15" w:type="dxa"/>
              <w:left w:w="15" w:type="dxa"/>
              <w:right w:w="15" w:type="dxa"/>
            </w:tcMar>
            <w:vAlign w:val="center"/>
          </w:tcPr>
          <w:p w14:paraId="1CAFBA7F">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A51795.0195</w:t>
            </w:r>
          </w:p>
        </w:tc>
        <w:tc>
          <w:tcPr>
            <w:tcW w:w="2687" w:type="dxa"/>
            <w:tcBorders>
              <w:tl2br w:val="nil"/>
              <w:tr2bl w:val="nil"/>
            </w:tcBorders>
            <w:shd w:val="clear" w:color="auto" w:fill="auto"/>
            <w:noWrap/>
            <w:tcMar>
              <w:top w:w="15" w:type="dxa"/>
              <w:left w:w="15" w:type="dxa"/>
              <w:right w:w="15" w:type="dxa"/>
            </w:tcMar>
            <w:vAlign w:val="center"/>
          </w:tcPr>
          <w:p w14:paraId="281241A8">
            <w:pPr>
              <w:widowControl/>
              <w:jc w:val="center"/>
              <w:rPr>
                <w:rFonts w:ascii="宋体" w:hAnsi="宋体" w:cs="宋体"/>
                <w:snapToGrid w:val="0"/>
                <w:color w:val="000000"/>
                <w:kern w:val="0"/>
                <w:szCs w:val="21"/>
                <w:lang w:eastAsia="en-US"/>
              </w:rPr>
            </w:pPr>
            <w:r>
              <w:rPr>
                <w:rFonts w:hint="eastAsia" w:ascii="宋体" w:hAnsi="宋体" w:cs="宋体"/>
                <w:szCs w:val="21"/>
              </w:rPr>
              <w:t>更换</w:t>
            </w:r>
            <w:r>
              <w:rPr>
                <w:rFonts w:hint="eastAsia" w:ascii="宋体" w:hAnsi="宋体" w:cs="宋体"/>
                <w:color w:val="000000"/>
                <w:szCs w:val="21"/>
              </w:rPr>
              <w:t>门架至溢流阀三通油管</w:t>
            </w:r>
          </w:p>
        </w:tc>
        <w:tc>
          <w:tcPr>
            <w:tcW w:w="415" w:type="dxa"/>
            <w:tcBorders>
              <w:tl2br w:val="nil"/>
              <w:tr2bl w:val="nil"/>
            </w:tcBorders>
            <w:shd w:val="clear" w:color="auto" w:fill="auto"/>
            <w:tcMar>
              <w:top w:w="15" w:type="dxa"/>
              <w:left w:w="15" w:type="dxa"/>
              <w:right w:w="15" w:type="dxa"/>
            </w:tcMar>
            <w:vAlign w:val="center"/>
          </w:tcPr>
          <w:p w14:paraId="727900F3">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tcMar>
              <w:top w:w="15" w:type="dxa"/>
              <w:left w:w="15" w:type="dxa"/>
              <w:right w:w="15" w:type="dxa"/>
            </w:tcMar>
            <w:vAlign w:val="center"/>
          </w:tcPr>
          <w:p w14:paraId="0E15DC0C">
            <w:pPr>
              <w:widowControl/>
              <w:jc w:val="center"/>
              <w:rPr>
                <w:rFonts w:ascii="宋体" w:hAnsi="宋体" w:cs="宋体"/>
                <w:snapToGrid w:val="0"/>
                <w:color w:val="000000"/>
                <w:kern w:val="0"/>
                <w:szCs w:val="21"/>
                <w:lang w:bidi="ar"/>
              </w:rPr>
            </w:pPr>
          </w:p>
        </w:tc>
      </w:tr>
      <w:tr w14:paraId="5E120A9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181E1740">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38</w:t>
            </w:r>
          </w:p>
        </w:tc>
        <w:tc>
          <w:tcPr>
            <w:tcW w:w="1361" w:type="dxa"/>
            <w:tcBorders>
              <w:tl2br w:val="nil"/>
              <w:tr2bl w:val="nil"/>
            </w:tcBorders>
            <w:shd w:val="clear" w:color="auto" w:fill="auto"/>
            <w:tcMar>
              <w:top w:w="15" w:type="dxa"/>
              <w:left w:w="15" w:type="dxa"/>
              <w:right w:w="15" w:type="dxa"/>
            </w:tcMar>
            <w:vAlign w:val="center"/>
          </w:tcPr>
          <w:p w14:paraId="0D044602">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A51795.0120</w:t>
            </w:r>
          </w:p>
        </w:tc>
        <w:tc>
          <w:tcPr>
            <w:tcW w:w="2687" w:type="dxa"/>
            <w:tcBorders>
              <w:tl2br w:val="nil"/>
              <w:tr2bl w:val="nil"/>
            </w:tcBorders>
            <w:shd w:val="clear" w:color="auto" w:fill="auto"/>
            <w:noWrap/>
            <w:tcMar>
              <w:top w:w="15" w:type="dxa"/>
              <w:left w:w="15" w:type="dxa"/>
              <w:right w:w="15" w:type="dxa"/>
            </w:tcMar>
            <w:vAlign w:val="center"/>
          </w:tcPr>
          <w:p w14:paraId="451B6C47">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起升溢流阀至起升油缸油管</w:t>
            </w:r>
          </w:p>
        </w:tc>
        <w:tc>
          <w:tcPr>
            <w:tcW w:w="415" w:type="dxa"/>
            <w:tcBorders>
              <w:tl2br w:val="nil"/>
              <w:tr2bl w:val="nil"/>
            </w:tcBorders>
            <w:shd w:val="clear" w:color="auto" w:fill="auto"/>
            <w:tcMar>
              <w:top w:w="15" w:type="dxa"/>
              <w:left w:w="15" w:type="dxa"/>
              <w:right w:w="15" w:type="dxa"/>
            </w:tcMar>
            <w:vAlign w:val="center"/>
          </w:tcPr>
          <w:p w14:paraId="57F8A1DA">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tcMar>
              <w:top w:w="15" w:type="dxa"/>
              <w:left w:w="15" w:type="dxa"/>
              <w:right w:w="15" w:type="dxa"/>
            </w:tcMar>
            <w:vAlign w:val="center"/>
          </w:tcPr>
          <w:p w14:paraId="0A4E385E">
            <w:pPr>
              <w:widowControl/>
              <w:jc w:val="center"/>
              <w:rPr>
                <w:rFonts w:ascii="宋体" w:hAnsi="宋体" w:cs="宋体"/>
                <w:snapToGrid w:val="0"/>
                <w:color w:val="000000"/>
                <w:kern w:val="0"/>
                <w:szCs w:val="21"/>
                <w:lang w:bidi="ar"/>
              </w:rPr>
            </w:pPr>
          </w:p>
        </w:tc>
      </w:tr>
      <w:tr w14:paraId="71FD365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78F78837">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39</w:t>
            </w:r>
          </w:p>
        </w:tc>
        <w:tc>
          <w:tcPr>
            <w:tcW w:w="1361" w:type="dxa"/>
            <w:tcBorders>
              <w:tl2br w:val="nil"/>
              <w:tr2bl w:val="nil"/>
            </w:tcBorders>
            <w:shd w:val="clear" w:color="auto" w:fill="auto"/>
            <w:tcMar>
              <w:top w:w="15" w:type="dxa"/>
              <w:left w:w="15" w:type="dxa"/>
              <w:right w:w="15" w:type="dxa"/>
            </w:tcMar>
            <w:vAlign w:val="center"/>
          </w:tcPr>
          <w:p w14:paraId="40EEC05E">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A51795.0160</w:t>
            </w:r>
          </w:p>
        </w:tc>
        <w:tc>
          <w:tcPr>
            <w:tcW w:w="2687" w:type="dxa"/>
            <w:tcBorders>
              <w:tl2br w:val="nil"/>
              <w:tr2bl w:val="nil"/>
            </w:tcBorders>
            <w:shd w:val="clear" w:color="auto" w:fill="auto"/>
            <w:noWrap/>
            <w:tcMar>
              <w:top w:w="15" w:type="dxa"/>
              <w:left w:w="15" w:type="dxa"/>
              <w:right w:w="15" w:type="dxa"/>
            </w:tcMar>
            <w:vAlign w:val="center"/>
          </w:tcPr>
          <w:p w14:paraId="35CB62F0">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门架至起升油缸回油三通油管</w:t>
            </w:r>
          </w:p>
        </w:tc>
        <w:tc>
          <w:tcPr>
            <w:tcW w:w="415" w:type="dxa"/>
            <w:tcBorders>
              <w:tl2br w:val="nil"/>
              <w:tr2bl w:val="nil"/>
            </w:tcBorders>
            <w:shd w:val="clear" w:color="auto" w:fill="auto"/>
            <w:tcMar>
              <w:top w:w="15" w:type="dxa"/>
              <w:left w:w="15" w:type="dxa"/>
              <w:right w:w="15" w:type="dxa"/>
            </w:tcMar>
            <w:vAlign w:val="center"/>
          </w:tcPr>
          <w:p w14:paraId="1A73A6E9">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tcMar>
              <w:top w:w="15" w:type="dxa"/>
              <w:left w:w="15" w:type="dxa"/>
              <w:right w:w="15" w:type="dxa"/>
            </w:tcMar>
            <w:vAlign w:val="center"/>
          </w:tcPr>
          <w:p w14:paraId="771EABD4">
            <w:pPr>
              <w:widowControl/>
              <w:jc w:val="center"/>
              <w:rPr>
                <w:rFonts w:ascii="宋体" w:hAnsi="宋体" w:cs="宋体"/>
                <w:snapToGrid w:val="0"/>
                <w:color w:val="000000"/>
                <w:kern w:val="0"/>
                <w:szCs w:val="21"/>
                <w:lang w:bidi="ar"/>
              </w:rPr>
            </w:pPr>
          </w:p>
        </w:tc>
      </w:tr>
      <w:tr w14:paraId="0A4462B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79B70DA3">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40</w:t>
            </w:r>
          </w:p>
        </w:tc>
        <w:tc>
          <w:tcPr>
            <w:tcW w:w="1361" w:type="dxa"/>
            <w:tcBorders>
              <w:tl2br w:val="nil"/>
              <w:tr2bl w:val="nil"/>
            </w:tcBorders>
            <w:shd w:val="clear" w:color="auto" w:fill="auto"/>
            <w:tcMar>
              <w:top w:w="15" w:type="dxa"/>
              <w:left w:w="15" w:type="dxa"/>
              <w:right w:w="15" w:type="dxa"/>
            </w:tcMar>
            <w:vAlign w:val="center"/>
          </w:tcPr>
          <w:p w14:paraId="560ACACB">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A51794.0105</w:t>
            </w:r>
          </w:p>
        </w:tc>
        <w:tc>
          <w:tcPr>
            <w:tcW w:w="2687" w:type="dxa"/>
            <w:tcBorders>
              <w:tl2br w:val="nil"/>
              <w:tr2bl w:val="nil"/>
            </w:tcBorders>
            <w:shd w:val="clear" w:color="auto" w:fill="auto"/>
            <w:noWrap/>
            <w:tcMar>
              <w:top w:w="15" w:type="dxa"/>
              <w:left w:w="15" w:type="dxa"/>
              <w:right w:w="15" w:type="dxa"/>
            </w:tcMar>
            <w:vAlign w:val="center"/>
          </w:tcPr>
          <w:p w14:paraId="1787D63E">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门架至起升油缸进油三通油管</w:t>
            </w:r>
          </w:p>
        </w:tc>
        <w:tc>
          <w:tcPr>
            <w:tcW w:w="415" w:type="dxa"/>
            <w:tcBorders>
              <w:tl2br w:val="nil"/>
              <w:tr2bl w:val="nil"/>
            </w:tcBorders>
            <w:shd w:val="clear" w:color="auto" w:fill="auto"/>
            <w:tcMar>
              <w:top w:w="15" w:type="dxa"/>
              <w:left w:w="15" w:type="dxa"/>
              <w:right w:w="15" w:type="dxa"/>
            </w:tcMar>
            <w:vAlign w:val="center"/>
          </w:tcPr>
          <w:p w14:paraId="3A8A8A28">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tcMar>
              <w:top w:w="15" w:type="dxa"/>
              <w:left w:w="15" w:type="dxa"/>
              <w:right w:w="15" w:type="dxa"/>
            </w:tcMar>
            <w:vAlign w:val="center"/>
          </w:tcPr>
          <w:p w14:paraId="49121D60">
            <w:pPr>
              <w:widowControl/>
              <w:jc w:val="center"/>
              <w:rPr>
                <w:rFonts w:ascii="宋体" w:hAnsi="宋体" w:cs="宋体"/>
                <w:snapToGrid w:val="0"/>
                <w:color w:val="000000"/>
                <w:kern w:val="0"/>
                <w:szCs w:val="21"/>
                <w:lang w:bidi="ar"/>
              </w:rPr>
            </w:pPr>
          </w:p>
        </w:tc>
      </w:tr>
      <w:tr w14:paraId="21702E7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2066F6ED">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41</w:t>
            </w:r>
          </w:p>
        </w:tc>
        <w:tc>
          <w:tcPr>
            <w:tcW w:w="1361" w:type="dxa"/>
            <w:tcBorders>
              <w:tl2br w:val="nil"/>
              <w:tr2bl w:val="nil"/>
            </w:tcBorders>
            <w:shd w:val="clear" w:color="auto" w:fill="auto"/>
            <w:tcMar>
              <w:top w:w="15" w:type="dxa"/>
              <w:left w:w="15" w:type="dxa"/>
              <w:right w:w="15" w:type="dxa"/>
            </w:tcMar>
            <w:vAlign w:val="center"/>
          </w:tcPr>
          <w:p w14:paraId="23164B5C">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A51969.0090</w:t>
            </w:r>
          </w:p>
        </w:tc>
        <w:tc>
          <w:tcPr>
            <w:tcW w:w="2687" w:type="dxa"/>
            <w:tcBorders>
              <w:tl2br w:val="nil"/>
              <w:tr2bl w:val="nil"/>
            </w:tcBorders>
            <w:shd w:val="clear" w:color="auto" w:fill="auto"/>
            <w:noWrap/>
            <w:tcMar>
              <w:top w:w="15" w:type="dxa"/>
              <w:left w:w="15" w:type="dxa"/>
              <w:right w:w="15" w:type="dxa"/>
            </w:tcMar>
            <w:vAlign w:val="center"/>
          </w:tcPr>
          <w:p w14:paraId="2FD52691">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左前倾油缸进油管</w:t>
            </w:r>
          </w:p>
        </w:tc>
        <w:tc>
          <w:tcPr>
            <w:tcW w:w="415" w:type="dxa"/>
            <w:tcBorders>
              <w:tl2br w:val="nil"/>
              <w:tr2bl w:val="nil"/>
            </w:tcBorders>
            <w:shd w:val="clear" w:color="auto" w:fill="auto"/>
            <w:tcMar>
              <w:top w:w="15" w:type="dxa"/>
              <w:left w:w="15" w:type="dxa"/>
              <w:right w:w="15" w:type="dxa"/>
            </w:tcMar>
            <w:vAlign w:val="center"/>
          </w:tcPr>
          <w:p w14:paraId="0F815E76">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tcMar>
              <w:top w:w="15" w:type="dxa"/>
              <w:left w:w="15" w:type="dxa"/>
              <w:right w:w="15" w:type="dxa"/>
            </w:tcMar>
            <w:vAlign w:val="center"/>
          </w:tcPr>
          <w:p w14:paraId="07BD7635">
            <w:pPr>
              <w:widowControl/>
              <w:jc w:val="center"/>
              <w:rPr>
                <w:rFonts w:ascii="宋体" w:hAnsi="宋体" w:cs="宋体"/>
                <w:snapToGrid w:val="0"/>
                <w:color w:val="000000"/>
                <w:kern w:val="0"/>
                <w:szCs w:val="21"/>
                <w:lang w:bidi="ar"/>
              </w:rPr>
            </w:pPr>
          </w:p>
        </w:tc>
      </w:tr>
      <w:tr w14:paraId="64726F9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272FFB2F">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42</w:t>
            </w:r>
          </w:p>
        </w:tc>
        <w:tc>
          <w:tcPr>
            <w:tcW w:w="1361" w:type="dxa"/>
            <w:tcBorders>
              <w:tl2br w:val="nil"/>
              <w:tr2bl w:val="nil"/>
            </w:tcBorders>
            <w:shd w:val="clear" w:color="auto" w:fill="auto"/>
            <w:tcMar>
              <w:top w:w="15" w:type="dxa"/>
              <w:left w:w="15" w:type="dxa"/>
              <w:right w:w="15" w:type="dxa"/>
            </w:tcMar>
            <w:vAlign w:val="center"/>
          </w:tcPr>
          <w:p w14:paraId="55D802A2">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A51794.0150</w:t>
            </w:r>
          </w:p>
        </w:tc>
        <w:tc>
          <w:tcPr>
            <w:tcW w:w="2687" w:type="dxa"/>
            <w:tcBorders>
              <w:tl2br w:val="nil"/>
              <w:tr2bl w:val="nil"/>
            </w:tcBorders>
            <w:shd w:val="clear" w:color="auto" w:fill="auto"/>
            <w:noWrap/>
            <w:tcMar>
              <w:top w:w="15" w:type="dxa"/>
              <w:left w:w="15" w:type="dxa"/>
              <w:right w:w="15" w:type="dxa"/>
            </w:tcMar>
            <w:vAlign w:val="center"/>
          </w:tcPr>
          <w:p w14:paraId="1CE81FDD">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右前倾油缸进油管</w:t>
            </w:r>
          </w:p>
        </w:tc>
        <w:tc>
          <w:tcPr>
            <w:tcW w:w="415" w:type="dxa"/>
            <w:tcBorders>
              <w:tl2br w:val="nil"/>
              <w:tr2bl w:val="nil"/>
            </w:tcBorders>
            <w:shd w:val="clear" w:color="auto" w:fill="auto"/>
            <w:tcMar>
              <w:top w:w="15" w:type="dxa"/>
              <w:left w:w="15" w:type="dxa"/>
              <w:right w:w="15" w:type="dxa"/>
            </w:tcMar>
            <w:vAlign w:val="center"/>
          </w:tcPr>
          <w:p w14:paraId="6D4F7C49">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tcMar>
              <w:top w:w="15" w:type="dxa"/>
              <w:left w:w="15" w:type="dxa"/>
              <w:right w:w="15" w:type="dxa"/>
            </w:tcMar>
            <w:vAlign w:val="center"/>
          </w:tcPr>
          <w:p w14:paraId="5DACD45D">
            <w:pPr>
              <w:widowControl/>
              <w:jc w:val="center"/>
              <w:rPr>
                <w:rFonts w:ascii="宋体" w:hAnsi="宋体" w:cs="宋体"/>
                <w:snapToGrid w:val="0"/>
                <w:color w:val="000000"/>
                <w:kern w:val="0"/>
                <w:szCs w:val="21"/>
                <w:lang w:bidi="ar"/>
              </w:rPr>
            </w:pPr>
          </w:p>
        </w:tc>
      </w:tr>
      <w:tr w14:paraId="379A84B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5713F7B4">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43</w:t>
            </w:r>
          </w:p>
        </w:tc>
        <w:tc>
          <w:tcPr>
            <w:tcW w:w="1361" w:type="dxa"/>
            <w:tcBorders>
              <w:tl2br w:val="nil"/>
              <w:tr2bl w:val="nil"/>
            </w:tcBorders>
            <w:shd w:val="clear" w:color="auto" w:fill="auto"/>
            <w:tcMar>
              <w:top w:w="15" w:type="dxa"/>
              <w:left w:w="15" w:type="dxa"/>
              <w:right w:w="15" w:type="dxa"/>
            </w:tcMar>
            <w:vAlign w:val="center"/>
          </w:tcPr>
          <w:p w14:paraId="7C373E25">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A51794.0165</w:t>
            </w:r>
          </w:p>
        </w:tc>
        <w:tc>
          <w:tcPr>
            <w:tcW w:w="2687" w:type="dxa"/>
            <w:tcBorders>
              <w:tl2br w:val="nil"/>
              <w:tr2bl w:val="nil"/>
            </w:tcBorders>
            <w:shd w:val="clear" w:color="auto" w:fill="auto"/>
            <w:noWrap/>
            <w:tcMar>
              <w:top w:w="15" w:type="dxa"/>
              <w:left w:w="15" w:type="dxa"/>
              <w:right w:w="15" w:type="dxa"/>
            </w:tcMar>
            <w:vAlign w:val="center"/>
          </w:tcPr>
          <w:p w14:paraId="77C9E385">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右前倾油缸回油管</w:t>
            </w:r>
          </w:p>
        </w:tc>
        <w:tc>
          <w:tcPr>
            <w:tcW w:w="415" w:type="dxa"/>
            <w:tcBorders>
              <w:tl2br w:val="nil"/>
              <w:tr2bl w:val="nil"/>
            </w:tcBorders>
            <w:shd w:val="clear" w:color="auto" w:fill="auto"/>
            <w:tcMar>
              <w:top w:w="15" w:type="dxa"/>
              <w:left w:w="15" w:type="dxa"/>
              <w:right w:w="15" w:type="dxa"/>
            </w:tcMar>
            <w:vAlign w:val="center"/>
          </w:tcPr>
          <w:p w14:paraId="37F428A4">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tcMar>
              <w:top w:w="15" w:type="dxa"/>
              <w:left w:w="15" w:type="dxa"/>
              <w:right w:w="15" w:type="dxa"/>
            </w:tcMar>
            <w:vAlign w:val="center"/>
          </w:tcPr>
          <w:p w14:paraId="46C84AB4">
            <w:pPr>
              <w:widowControl/>
              <w:jc w:val="center"/>
              <w:rPr>
                <w:rFonts w:ascii="宋体" w:hAnsi="宋体" w:cs="宋体"/>
                <w:snapToGrid w:val="0"/>
                <w:color w:val="000000"/>
                <w:kern w:val="0"/>
                <w:szCs w:val="21"/>
                <w:lang w:bidi="ar"/>
              </w:rPr>
            </w:pPr>
          </w:p>
        </w:tc>
      </w:tr>
      <w:tr w14:paraId="66FE09A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43906FB1">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44</w:t>
            </w:r>
          </w:p>
        </w:tc>
        <w:tc>
          <w:tcPr>
            <w:tcW w:w="1361" w:type="dxa"/>
            <w:tcBorders>
              <w:tl2br w:val="nil"/>
              <w:tr2bl w:val="nil"/>
            </w:tcBorders>
            <w:shd w:val="clear" w:color="auto" w:fill="auto"/>
            <w:tcMar>
              <w:top w:w="15" w:type="dxa"/>
              <w:left w:w="15" w:type="dxa"/>
              <w:right w:w="15" w:type="dxa"/>
            </w:tcMar>
            <w:vAlign w:val="center"/>
          </w:tcPr>
          <w:p w14:paraId="7524FF92">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A51969.0100</w:t>
            </w:r>
          </w:p>
        </w:tc>
        <w:tc>
          <w:tcPr>
            <w:tcW w:w="2687" w:type="dxa"/>
            <w:tcBorders>
              <w:tl2br w:val="nil"/>
              <w:tr2bl w:val="nil"/>
            </w:tcBorders>
            <w:shd w:val="clear" w:color="auto" w:fill="auto"/>
            <w:noWrap/>
            <w:tcMar>
              <w:top w:w="15" w:type="dxa"/>
              <w:left w:w="15" w:type="dxa"/>
              <w:right w:w="15" w:type="dxa"/>
            </w:tcMar>
            <w:vAlign w:val="center"/>
          </w:tcPr>
          <w:p w14:paraId="794C75A8">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左前倾油缸回油管</w:t>
            </w:r>
          </w:p>
        </w:tc>
        <w:tc>
          <w:tcPr>
            <w:tcW w:w="415" w:type="dxa"/>
            <w:tcBorders>
              <w:tl2br w:val="nil"/>
              <w:tr2bl w:val="nil"/>
            </w:tcBorders>
            <w:shd w:val="clear" w:color="auto" w:fill="auto"/>
            <w:tcMar>
              <w:top w:w="15" w:type="dxa"/>
              <w:left w:w="15" w:type="dxa"/>
              <w:right w:w="15" w:type="dxa"/>
            </w:tcMar>
            <w:vAlign w:val="center"/>
          </w:tcPr>
          <w:p w14:paraId="130B4F42">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tcMar>
              <w:top w:w="15" w:type="dxa"/>
              <w:left w:w="15" w:type="dxa"/>
              <w:right w:w="15" w:type="dxa"/>
            </w:tcMar>
            <w:vAlign w:val="center"/>
          </w:tcPr>
          <w:p w14:paraId="0BA69822">
            <w:pPr>
              <w:widowControl/>
              <w:jc w:val="center"/>
              <w:rPr>
                <w:rFonts w:ascii="宋体" w:hAnsi="宋体" w:cs="宋体"/>
                <w:snapToGrid w:val="0"/>
                <w:color w:val="000000"/>
                <w:kern w:val="0"/>
                <w:szCs w:val="21"/>
                <w:lang w:bidi="ar"/>
              </w:rPr>
            </w:pPr>
          </w:p>
        </w:tc>
      </w:tr>
      <w:tr w14:paraId="37BCE1F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17D7BAF0">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45</w:t>
            </w:r>
          </w:p>
        </w:tc>
        <w:tc>
          <w:tcPr>
            <w:tcW w:w="1361" w:type="dxa"/>
            <w:tcBorders>
              <w:tl2br w:val="nil"/>
              <w:tr2bl w:val="nil"/>
            </w:tcBorders>
            <w:shd w:val="clear" w:color="auto" w:fill="auto"/>
            <w:noWrap/>
            <w:tcMar>
              <w:top w:w="15" w:type="dxa"/>
              <w:left w:w="15" w:type="dxa"/>
              <w:right w:w="15" w:type="dxa"/>
            </w:tcMar>
            <w:vAlign w:val="center"/>
          </w:tcPr>
          <w:p w14:paraId="39BE5ECB">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A51806.0036</w:t>
            </w:r>
          </w:p>
        </w:tc>
        <w:tc>
          <w:tcPr>
            <w:tcW w:w="2687" w:type="dxa"/>
            <w:tcBorders>
              <w:tl2br w:val="nil"/>
              <w:tr2bl w:val="nil"/>
            </w:tcBorders>
            <w:shd w:val="clear" w:color="auto" w:fill="auto"/>
            <w:noWrap/>
            <w:tcMar>
              <w:top w:w="15" w:type="dxa"/>
              <w:left w:w="15" w:type="dxa"/>
              <w:right w:w="15" w:type="dxa"/>
            </w:tcMar>
            <w:vAlign w:val="center"/>
          </w:tcPr>
          <w:p w14:paraId="64BBCBF4">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液压油箱至液压散热器油管</w:t>
            </w:r>
          </w:p>
        </w:tc>
        <w:tc>
          <w:tcPr>
            <w:tcW w:w="415" w:type="dxa"/>
            <w:tcBorders>
              <w:tl2br w:val="nil"/>
              <w:tr2bl w:val="nil"/>
            </w:tcBorders>
            <w:shd w:val="clear" w:color="auto" w:fill="auto"/>
            <w:noWrap/>
            <w:tcMar>
              <w:top w:w="15" w:type="dxa"/>
              <w:left w:w="15" w:type="dxa"/>
              <w:right w:w="15" w:type="dxa"/>
            </w:tcMar>
            <w:vAlign w:val="center"/>
          </w:tcPr>
          <w:p w14:paraId="227B521F">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noWrap/>
            <w:tcMar>
              <w:top w:w="15" w:type="dxa"/>
              <w:left w:w="15" w:type="dxa"/>
              <w:right w:w="15" w:type="dxa"/>
            </w:tcMar>
            <w:vAlign w:val="center"/>
          </w:tcPr>
          <w:p w14:paraId="1106CC73">
            <w:pPr>
              <w:widowControl/>
              <w:jc w:val="center"/>
              <w:rPr>
                <w:rFonts w:ascii="宋体" w:hAnsi="宋体" w:cs="宋体"/>
                <w:snapToGrid w:val="0"/>
                <w:color w:val="000000"/>
                <w:kern w:val="0"/>
                <w:szCs w:val="21"/>
                <w:lang w:bidi="ar"/>
              </w:rPr>
            </w:pPr>
          </w:p>
        </w:tc>
      </w:tr>
      <w:tr w14:paraId="76ABE9F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4D20CA44">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46</w:t>
            </w:r>
          </w:p>
        </w:tc>
        <w:tc>
          <w:tcPr>
            <w:tcW w:w="1361" w:type="dxa"/>
            <w:tcBorders>
              <w:tl2br w:val="nil"/>
              <w:tr2bl w:val="nil"/>
            </w:tcBorders>
            <w:shd w:val="clear" w:color="auto" w:fill="auto"/>
            <w:noWrap/>
            <w:tcMar>
              <w:top w:w="15" w:type="dxa"/>
              <w:left w:w="15" w:type="dxa"/>
              <w:right w:w="15" w:type="dxa"/>
            </w:tcMar>
            <w:vAlign w:val="center"/>
          </w:tcPr>
          <w:p w14:paraId="27402149">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A51806.0330</w:t>
            </w:r>
          </w:p>
        </w:tc>
        <w:tc>
          <w:tcPr>
            <w:tcW w:w="2687" w:type="dxa"/>
            <w:tcBorders>
              <w:tl2br w:val="nil"/>
              <w:tr2bl w:val="nil"/>
            </w:tcBorders>
            <w:shd w:val="clear" w:color="auto" w:fill="auto"/>
            <w:noWrap/>
            <w:tcMar>
              <w:top w:w="15" w:type="dxa"/>
              <w:left w:w="15" w:type="dxa"/>
              <w:right w:w="15" w:type="dxa"/>
            </w:tcMar>
            <w:vAlign w:val="center"/>
          </w:tcPr>
          <w:p w14:paraId="66D34457">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九通阀至液压油散热器油管</w:t>
            </w:r>
          </w:p>
        </w:tc>
        <w:tc>
          <w:tcPr>
            <w:tcW w:w="415" w:type="dxa"/>
            <w:tcBorders>
              <w:tl2br w:val="nil"/>
              <w:tr2bl w:val="nil"/>
            </w:tcBorders>
            <w:shd w:val="clear" w:color="auto" w:fill="auto"/>
            <w:noWrap/>
            <w:tcMar>
              <w:top w:w="15" w:type="dxa"/>
              <w:left w:w="15" w:type="dxa"/>
              <w:right w:w="15" w:type="dxa"/>
            </w:tcMar>
            <w:vAlign w:val="center"/>
          </w:tcPr>
          <w:p w14:paraId="3945DBE1">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noWrap/>
            <w:tcMar>
              <w:top w:w="15" w:type="dxa"/>
              <w:left w:w="15" w:type="dxa"/>
              <w:right w:w="15" w:type="dxa"/>
            </w:tcMar>
            <w:vAlign w:val="center"/>
          </w:tcPr>
          <w:p w14:paraId="689106BE">
            <w:pPr>
              <w:widowControl/>
              <w:jc w:val="center"/>
              <w:rPr>
                <w:rFonts w:ascii="宋体" w:hAnsi="宋体" w:cs="宋体"/>
                <w:snapToGrid w:val="0"/>
                <w:color w:val="000000"/>
                <w:kern w:val="0"/>
                <w:szCs w:val="21"/>
                <w:lang w:bidi="ar"/>
              </w:rPr>
            </w:pPr>
          </w:p>
        </w:tc>
      </w:tr>
      <w:tr w14:paraId="3667C3E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584D18E6">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47</w:t>
            </w:r>
          </w:p>
        </w:tc>
        <w:tc>
          <w:tcPr>
            <w:tcW w:w="1361" w:type="dxa"/>
            <w:tcBorders>
              <w:tl2br w:val="nil"/>
              <w:tr2bl w:val="nil"/>
            </w:tcBorders>
            <w:shd w:val="clear" w:color="auto" w:fill="auto"/>
            <w:noWrap/>
            <w:tcMar>
              <w:top w:w="15" w:type="dxa"/>
              <w:left w:w="15" w:type="dxa"/>
              <w:right w:w="15" w:type="dxa"/>
            </w:tcMar>
            <w:vAlign w:val="center"/>
          </w:tcPr>
          <w:p w14:paraId="15C0CBEC">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A51806.0085</w:t>
            </w:r>
          </w:p>
        </w:tc>
        <w:tc>
          <w:tcPr>
            <w:tcW w:w="2687" w:type="dxa"/>
            <w:tcBorders>
              <w:tl2br w:val="nil"/>
              <w:tr2bl w:val="nil"/>
            </w:tcBorders>
            <w:shd w:val="clear" w:color="auto" w:fill="auto"/>
            <w:noWrap/>
            <w:tcMar>
              <w:top w:w="15" w:type="dxa"/>
              <w:left w:w="15" w:type="dxa"/>
              <w:right w:w="15" w:type="dxa"/>
            </w:tcMar>
            <w:vAlign w:val="center"/>
          </w:tcPr>
          <w:p w14:paraId="6750F96B">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液压油箱至液压散热器油管</w:t>
            </w:r>
          </w:p>
        </w:tc>
        <w:tc>
          <w:tcPr>
            <w:tcW w:w="415" w:type="dxa"/>
            <w:tcBorders>
              <w:tl2br w:val="nil"/>
              <w:tr2bl w:val="nil"/>
            </w:tcBorders>
            <w:shd w:val="clear" w:color="auto" w:fill="auto"/>
            <w:noWrap/>
            <w:tcMar>
              <w:top w:w="15" w:type="dxa"/>
              <w:left w:w="15" w:type="dxa"/>
              <w:right w:w="15" w:type="dxa"/>
            </w:tcMar>
            <w:vAlign w:val="center"/>
          </w:tcPr>
          <w:p w14:paraId="3616A234">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noWrap/>
            <w:tcMar>
              <w:top w:w="15" w:type="dxa"/>
              <w:left w:w="15" w:type="dxa"/>
              <w:right w:w="15" w:type="dxa"/>
            </w:tcMar>
            <w:vAlign w:val="center"/>
          </w:tcPr>
          <w:p w14:paraId="482BBA4B">
            <w:pPr>
              <w:widowControl/>
              <w:jc w:val="center"/>
              <w:rPr>
                <w:rFonts w:ascii="宋体" w:hAnsi="宋体" w:cs="宋体"/>
                <w:snapToGrid w:val="0"/>
                <w:color w:val="000000"/>
                <w:kern w:val="0"/>
                <w:szCs w:val="21"/>
                <w:lang w:bidi="ar"/>
              </w:rPr>
            </w:pPr>
          </w:p>
        </w:tc>
      </w:tr>
      <w:tr w14:paraId="0C5A457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717F09A1">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48</w:t>
            </w:r>
          </w:p>
        </w:tc>
        <w:tc>
          <w:tcPr>
            <w:tcW w:w="1361" w:type="dxa"/>
            <w:tcBorders>
              <w:tl2br w:val="nil"/>
              <w:tr2bl w:val="nil"/>
            </w:tcBorders>
            <w:shd w:val="clear" w:color="auto" w:fill="auto"/>
            <w:noWrap/>
            <w:tcMar>
              <w:top w:w="15" w:type="dxa"/>
              <w:left w:w="15" w:type="dxa"/>
              <w:right w:w="15" w:type="dxa"/>
            </w:tcMar>
            <w:vAlign w:val="center"/>
          </w:tcPr>
          <w:p w14:paraId="3243E3F7">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A51826.0270</w:t>
            </w:r>
          </w:p>
        </w:tc>
        <w:tc>
          <w:tcPr>
            <w:tcW w:w="2687" w:type="dxa"/>
            <w:tcBorders>
              <w:tl2br w:val="nil"/>
              <w:tr2bl w:val="nil"/>
            </w:tcBorders>
            <w:shd w:val="clear" w:color="auto" w:fill="auto"/>
            <w:noWrap/>
            <w:tcMar>
              <w:top w:w="15" w:type="dxa"/>
              <w:left w:w="15" w:type="dxa"/>
              <w:right w:w="15" w:type="dxa"/>
            </w:tcMar>
            <w:vAlign w:val="center"/>
          </w:tcPr>
          <w:p w14:paraId="69DA83E0">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优先阀至油箱回油管</w:t>
            </w:r>
          </w:p>
        </w:tc>
        <w:tc>
          <w:tcPr>
            <w:tcW w:w="415" w:type="dxa"/>
            <w:tcBorders>
              <w:tl2br w:val="nil"/>
              <w:tr2bl w:val="nil"/>
            </w:tcBorders>
            <w:shd w:val="clear" w:color="auto" w:fill="auto"/>
            <w:noWrap/>
            <w:tcMar>
              <w:top w:w="15" w:type="dxa"/>
              <w:left w:w="15" w:type="dxa"/>
              <w:right w:w="15" w:type="dxa"/>
            </w:tcMar>
            <w:vAlign w:val="center"/>
          </w:tcPr>
          <w:p w14:paraId="4242313D">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noWrap/>
            <w:tcMar>
              <w:top w:w="15" w:type="dxa"/>
              <w:left w:w="15" w:type="dxa"/>
              <w:right w:w="15" w:type="dxa"/>
            </w:tcMar>
            <w:vAlign w:val="center"/>
          </w:tcPr>
          <w:p w14:paraId="492DDAF5">
            <w:pPr>
              <w:widowControl/>
              <w:jc w:val="center"/>
              <w:rPr>
                <w:rFonts w:ascii="宋体" w:hAnsi="宋体" w:cs="宋体"/>
                <w:snapToGrid w:val="0"/>
                <w:color w:val="000000"/>
                <w:kern w:val="0"/>
                <w:szCs w:val="21"/>
                <w:lang w:bidi="ar"/>
              </w:rPr>
            </w:pPr>
          </w:p>
        </w:tc>
      </w:tr>
      <w:tr w14:paraId="2BBF790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782B68CC">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49</w:t>
            </w:r>
          </w:p>
        </w:tc>
        <w:tc>
          <w:tcPr>
            <w:tcW w:w="1361" w:type="dxa"/>
            <w:tcBorders>
              <w:tl2br w:val="nil"/>
              <w:tr2bl w:val="nil"/>
            </w:tcBorders>
            <w:shd w:val="clear" w:color="auto" w:fill="auto"/>
            <w:noWrap/>
            <w:tcMar>
              <w:top w:w="15" w:type="dxa"/>
              <w:left w:w="15" w:type="dxa"/>
              <w:right w:w="15" w:type="dxa"/>
            </w:tcMar>
            <w:vAlign w:val="center"/>
          </w:tcPr>
          <w:p w14:paraId="632CC060">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A51794.0625</w:t>
            </w:r>
          </w:p>
        </w:tc>
        <w:tc>
          <w:tcPr>
            <w:tcW w:w="2687" w:type="dxa"/>
            <w:tcBorders>
              <w:tl2br w:val="nil"/>
              <w:tr2bl w:val="nil"/>
            </w:tcBorders>
            <w:shd w:val="clear" w:color="auto" w:fill="auto"/>
            <w:noWrap/>
            <w:tcMar>
              <w:top w:w="15" w:type="dxa"/>
              <w:left w:w="15" w:type="dxa"/>
              <w:right w:w="15" w:type="dxa"/>
            </w:tcMar>
            <w:vAlign w:val="center"/>
          </w:tcPr>
          <w:p w14:paraId="6CE11EC2">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转向油缸油缸</w:t>
            </w:r>
          </w:p>
        </w:tc>
        <w:tc>
          <w:tcPr>
            <w:tcW w:w="415" w:type="dxa"/>
            <w:tcBorders>
              <w:tl2br w:val="nil"/>
              <w:tr2bl w:val="nil"/>
            </w:tcBorders>
            <w:shd w:val="clear" w:color="auto" w:fill="auto"/>
            <w:noWrap/>
            <w:tcMar>
              <w:top w:w="15" w:type="dxa"/>
              <w:left w:w="15" w:type="dxa"/>
              <w:right w:w="15" w:type="dxa"/>
            </w:tcMar>
            <w:vAlign w:val="center"/>
          </w:tcPr>
          <w:p w14:paraId="48EB3AFA">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2</w:t>
            </w:r>
          </w:p>
        </w:tc>
        <w:tc>
          <w:tcPr>
            <w:tcW w:w="1387" w:type="dxa"/>
            <w:tcBorders>
              <w:tl2br w:val="nil"/>
              <w:tr2bl w:val="nil"/>
            </w:tcBorders>
            <w:shd w:val="clear" w:color="auto" w:fill="auto"/>
            <w:noWrap/>
            <w:tcMar>
              <w:top w:w="15" w:type="dxa"/>
              <w:left w:w="15" w:type="dxa"/>
              <w:right w:w="15" w:type="dxa"/>
            </w:tcMar>
            <w:vAlign w:val="center"/>
          </w:tcPr>
          <w:p w14:paraId="6891F7BE">
            <w:pPr>
              <w:widowControl/>
              <w:jc w:val="center"/>
              <w:rPr>
                <w:rFonts w:ascii="宋体" w:hAnsi="宋体" w:cs="宋体"/>
                <w:snapToGrid w:val="0"/>
                <w:color w:val="000000"/>
                <w:kern w:val="0"/>
                <w:szCs w:val="21"/>
                <w:lang w:bidi="ar"/>
              </w:rPr>
            </w:pPr>
          </w:p>
        </w:tc>
      </w:tr>
      <w:tr w14:paraId="773C8A0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2613047D">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50</w:t>
            </w:r>
          </w:p>
        </w:tc>
        <w:tc>
          <w:tcPr>
            <w:tcW w:w="1361" w:type="dxa"/>
            <w:tcBorders>
              <w:tl2br w:val="nil"/>
              <w:tr2bl w:val="nil"/>
            </w:tcBorders>
            <w:shd w:val="clear" w:color="auto" w:fill="auto"/>
            <w:noWrap/>
            <w:tcMar>
              <w:top w:w="15" w:type="dxa"/>
              <w:left w:w="15" w:type="dxa"/>
              <w:right w:w="15" w:type="dxa"/>
            </w:tcMar>
            <w:vAlign w:val="center"/>
          </w:tcPr>
          <w:p w14:paraId="08DFC2EE">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A51825.0050</w:t>
            </w:r>
          </w:p>
        </w:tc>
        <w:tc>
          <w:tcPr>
            <w:tcW w:w="2687" w:type="dxa"/>
            <w:vMerge w:val="restart"/>
            <w:tcBorders>
              <w:tl2br w:val="nil"/>
              <w:tr2bl w:val="nil"/>
            </w:tcBorders>
            <w:shd w:val="clear" w:color="auto" w:fill="auto"/>
            <w:noWrap/>
            <w:tcMar>
              <w:top w:w="15" w:type="dxa"/>
              <w:left w:w="15" w:type="dxa"/>
              <w:right w:w="15" w:type="dxa"/>
            </w:tcMar>
            <w:vAlign w:val="center"/>
          </w:tcPr>
          <w:p w14:paraId="028B8046">
            <w:pPr>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变速箱的泵至阀油管</w:t>
            </w:r>
          </w:p>
        </w:tc>
        <w:tc>
          <w:tcPr>
            <w:tcW w:w="415" w:type="dxa"/>
            <w:vMerge w:val="restart"/>
            <w:tcBorders>
              <w:tl2br w:val="nil"/>
              <w:tr2bl w:val="nil"/>
            </w:tcBorders>
            <w:shd w:val="clear" w:color="auto" w:fill="auto"/>
            <w:noWrap/>
            <w:tcMar>
              <w:top w:w="15" w:type="dxa"/>
              <w:left w:w="15" w:type="dxa"/>
              <w:right w:w="15" w:type="dxa"/>
            </w:tcMar>
            <w:vAlign w:val="center"/>
          </w:tcPr>
          <w:p w14:paraId="244B554D">
            <w:pPr>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val="en-US" w:eastAsia="zh-CN" w:bidi="ar"/>
              </w:rPr>
              <w:t>4</w:t>
            </w:r>
          </w:p>
        </w:tc>
        <w:tc>
          <w:tcPr>
            <w:tcW w:w="1387" w:type="dxa"/>
            <w:vMerge w:val="restart"/>
            <w:tcBorders>
              <w:tl2br w:val="nil"/>
              <w:tr2bl w:val="nil"/>
            </w:tcBorders>
            <w:shd w:val="clear" w:color="auto" w:fill="auto"/>
            <w:noWrap/>
            <w:tcMar>
              <w:top w:w="15" w:type="dxa"/>
              <w:left w:w="15" w:type="dxa"/>
              <w:right w:w="15" w:type="dxa"/>
            </w:tcMar>
            <w:vAlign w:val="center"/>
          </w:tcPr>
          <w:p w14:paraId="0DF804EA">
            <w:pPr>
              <w:widowControl/>
              <w:jc w:val="center"/>
              <w:rPr>
                <w:rFonts w:ascii="宋体" w:hAnsi="宋体" w:cs="宋体"/>
                <w:snapToGrid w:val="0"/>
                <w:color w:val="000000"/>
                <w:kern w:val="0"/>
                <w:szCs w:val="21"/>
                <w:lang w:bidi="ar"/>
              </w:rPr>
            </w:pPr>
          </w:p>
        </w:tc>
      </w:tr>
      <w:tr w14:paraId="599866A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06BC6E20">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51</w:t>
            </w:r>
          </w:p>
        </w:tc>
        <w:tc>
          <w:tcPr>
            <w:tcW w:w="1361" w:type="dxa"/>
            <w:tcBorders>
              <w:tl2br w:val="nil"/>
              <w:tr2bl w:val="nil"/>
            </w:tcBorders>
            <w:shd w:val="clear" w:color="auto" w:fill="auto"/>
            <w:noWrap/>
            <w:tcMar>
              <w:top w:w="15" w:type="dxa"/>
              <w:left w:w="15" w:type="dxa"/>
              <w:right w:w="15" w:type="dxa"/>
            </w:tcMar>
            <w:vAlign w:val="center"/>
          </w:tcPr>
          <w:p w14:paraId="46F049B6">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A51825.0100</w:t>
            </w:r>
          </w:p>
        </w:tc>
        <w:tc>
          <w:tcPr>
            <w:tcW w:w="2687" w:type="dxa"/>
            <w:vMerge w:val="continue"/>
            <w:tcBorders>
              <w:tl2br w:val="nil"/>
              <w:tr2bl w:val="nil"/>
            </w:tcBorders>
            <w:shd w:val="clear" w:color="auto" w:fill="auto"/>
            <w:noWrap/>
            <w:tcMar>
              <w:top w:w="15" w:type="dxa"/>
              <w:left w:w="15" w:type="dxa"/>
              <w:right w:w="15" w:type="dxa"/>
            </w:tcMar>
            <w:vAlign w:val="center"/>
          </w:tcPr>
          <w:p w14:paraId="04EF7A53">
            <w:pPr>
              <w:jc w:val="center"/>
              <w:rPr>
                <w:rFonts w:ascii="宋体" w:hAnsi="宋体" w:cs="宋体"/>
                <w:snapToGrid w:val="0"/>
                <w:color w:val="000000"/>
                <w:kern w:val="0"/>
                <w:szCs w:val="21"/>
              </w:rPr>
            </w:pPr>
          </w:p>
        </w:tc>
        <w:tc>
          <w:tcPr>
            <w:tcW w:w="415" w:type="dxa"/>
            <w:vMerge w:val="continue"/>
            <w:tcBorders>
              <w:tl2br w:val="nil"/>
              <w:tr2bl w:val="nil"/>
            </w:tcBorders>
            <w:shd w:val="clear" w:color="auto" w:fill="auto"/>
            <w:noWrap/>
            <w:tcMar>
              <w:top w:w="15" w:type="dxa"/>
              <w:left w:w="15" w:type="dxa"/>
              <w:right w:w="15" w:type="dxa"/>
            </w:tcMar>
            <w:vAlign w:val="center"/>
          </w:tcPr>
          <w:p w14:paraId="2E052C1E">
            <w:pPr>
              <w:jc w:val="center"/>
              <w:rPr>
                <w:rFonts w:ascii="宋体" w:hAnsi="宋体" w:cs="宋体"/>
                <w:snapToGrid w:val="0"/>
                <w:color w:val="000000"/>
                <w:kern w:val="0"/>
                <w:szCs w:val="21"/>
                <w:lang w:eastAsia="en-US"/>
              </w:rPr>
            </w:pPr>
          </w:p>
        </w:tc>
        <w:tc>
          <w:tcPr>
            <w:tcW w:w="1387" w:type="dxa"/>
            <w:vMerge w:val="continue"/>
            <w:tcBorders>
              <w:tl2br w:val="nil"/>
              <w:tr2bl w:val="nil"/>
            </w:tcBorders>
            <w:shd w:val="clear" w:color="auto" w:fill="auto"/>
            <w:noWrap/>
            <w:tcMar>
              <w:top w:w="15" w:type="dxa"/>
              <w:left w:w="15" w:type="dxa"/>
              <w:right w:w="15" w:type="dxa"/>
            </w:tcMar>
            <w:vAlign w:val="center"/>
          </w:tcPr>
          <w:p w14:paraId="21D239DC">
            <w:pPr>
              <w:widowControl/>
              <w:jc w:val="center"/>
              <w:rPr>
                <w:rFonts w:ascii="宋体" w:hAnsi="宋体" w:cs="宋体"/>
                <w:snapToGrid w:val="0"/>
                <w:color w:val="000000"/>
                <w:kern w:val="0"/>
                <w:szCs w:val="21"/>
                <w:lang w:bidi="ar"/>
              </w:rPr>
            </w:pPr>
          </w:p>
        </w:tc>
      </w:tr>
      <w:tr w14:paraId="3037DAC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40263339">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52</w:t>
            </w:r>
          </w:p>
        </w:tc>
        <w:tc>
          <w:tcPr>
            <w:tcW w:w="1361" w:type="dxa"/>
            <w:tcBorders>
              <w:tl2br w:val="nil"/>
              <w:tr2bl w:val="nil"/>
            </w:tcBorders>
            <w:shd w:val="clear" w:color="auto" w:fill="auto"/>
            <w:noWrap/>
            <w:tcMar>
              <w:top w:w="15" w:type="dxa"/>
              <w:left w:w="15" w:type="dxa"/>
              <w:right w:w="15" w:type="dxa"/>
            </w:tcMar>
            <w:vAlign w:val="center"/>
          </w:tcPr>
          <w:p w14:paraId="0F76D6E0">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A51825.0040</w:t>
            </w:r>
          </w:p>
        </w:tc>
        <w:tc>
          <w:tcPr>
            <w:tcW w:w="2687" w:type="dxa"/>
            <w:vMerge w:val="continue"/>
            <w:tcBorders>
              <w:tl2br w:val="nil"/>
              <w:tr2bl w:val="nil"/>
            </w:tcBorders>
            <w:shd w:val="clear" w:color="auto" w:fill="auto"/>
            <w:noWrap/>
            <w:tcMar>
              <w:top w:w="15" w:type="dxa"/>
              <w:left w:w="15" w:type="dxa"/>
              <w:right w:w="15" w:type="dxa"/>
            </w:tcMar>
            <w:vAlign w:val="center"/>
          </w:tcPr>
          <w:p w14:paraId="38057307">
            <w:pPr>
              <w:jc w:val="center"/>
              <w:rPr>
                <w:rFonts w:ascii="宋体" w:hAnsi="宋体" w:cs="宋体"/>
                <w:snapToGrid w:val="0"/>
                <w:color w:val="000000"/>
                <w:kern w:val="0"/>
                <w:szCs w:val="21"/>
              </w:rPr>
            </w:pPr>
          </w:p>
        </w:tc>
        <w:tc>
          <w:tcPr>
            <w:tcW w:w="415" w:type="dxa"/>
            <w:vMerge w:val="continue"/>
            <w:tcBorders>
              <w:tl2br w:val="nil"/>
              <w:tr2bl w:val="nil"/>
            </w:tcBorders>
            <w:shd w:val="clear" w:color="auto" w:fill="auto"/>
            <w:noWrap/>
            <w:tcMar>
              <w:top w:w="15" w:type="dxa"/>
              <w:left w:w="15" w:type="dxa"/>
              <w:right w:w="15" w:type="dxa"/>
            </w:tcMar>
            <w:vAlign w:val="center"/>
          </w:tcPr>
          <w:p w14:paraId="51EA9181">
            <w:pPr>
              <w:jc w:val="center"/>
              <w:rPr>
                <w:rFonts w:ascii="宋体" w:hAnsi="宋体" w:cs="宋体"/>
                <w:snapToGrid w:val="0"/>
                <w:color w:val="000000"/>
                <w:kern w:val="0"/>
                <w:szCs w:val="21"/>
                <w:lang w:eastAsia="en-US"/>
              </w:rPr>
            </w:pPr>
          </w:p>
        </w:tc>
        <w:tc>
          <w:tcPr>
            <w:tcW w:w="1387" w:type="dxa"/>
            <w:vMerge w:val="continue"/>
            <w:tcBorders>
              <w:tl2br w:val="nil"/>
              <w:tr2bl w:val="nil"/>
            </w:tcBorders>
            <w:shd w:val="clear" w:color="auto" w:fill="auto"/>
            <w:noWrap/>
            <w:tcMar>
              <w:top w:w="15" w:type="dxa"/>
              <w:left w:w="15" w:type="dxa"/>
              <w:right w:w="15" w:type="dxa"/>
            </w:tcMar>
            <w:vAlign w:val="center"/>
          </w:tcPr>
          <w:p w14:paraId="416F5A33">
            <w:pPr>
              <w:widowControl/>
              <w:jc w:val="center"/>
              <w:rPr>
                <w:rFonts w:ascii="宋体" w:hAnsi="宋体" w:cs="宋体"/>
                <w:snapToGrid w:val="0"/>
                <w:color w:val="000000"/>
                <w:kern w:val="0"/>
                <w:szCs w:val="21"/>
                <w:lang w:bidi="ar"/>
              </w:rPr>
            </w:pPr>
          </w:p>
        </w:tc>
      </w:tr>
      <w:tr w14:paraId="10DC877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11E970F8">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53</w:t>
            </w:r>
          </w:p>
        </w:tc>
        <w:tc>
          <w:tcPr>
            <w:tcW w:w="1361" w:type="dxa"/>
            <w:tcBorders>
              <w:tl2br w:val="nil"/>
              <w:tr2bl w:val="nil"/>
            </w:tcBorders>
            <w:shd w:val="clear" w:color="auto" w:fill="auto"/>
            <w:noWrap/>
            <w:tcMar>
              <w:top w:w="15" w:type="dxa"/>
              <w:left w:w="15" w:type="dxa"/>
              <w:right w:w="15" w:type="dxa"/>
            </w:tcMar>
            <w:vAlign w:val="center"/>
          </w:tcPr>
          <w:p w14:paraId="31B7E128">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A51826.0070</w:t>
            </w:r>
          </w:p>
        </w:tc>
        <w:tc>
          <w:tcPr>
            <w:tcW w:w="2687" w:type="dxa"/>
            <w:vMerge w:val="continue"/>
            <w:tcBorders>
              <w:tl2br w:val="nil"/>
              <w:tr2bl w:val="nil"/>
            </w:tcBorders>
            <w:shd w:val="clear" w:color="auto" w:fill="auto"/>
            <w:noWrap/>
            <w:tcMar>
              <w:top w:w="15" w:type="dxa"/>
              <w:left w:w="15" w:type="dxa"/>
              <w:right w:w="15" w:type="dxa"/>
            </w:tcMar>
            <w:vAlign w:val="center"/>
          </w:tcPr>
          <w:p w14:paraId="165AEAB0">
            <w:pPr>
              <w:jc w:val="center"/>
              <w:rPr>
                <w:rFonts w:ascii="宋体" w:hAnsi="宋体" w:cs="宋体"/>
                <w:snapToGrid w:val="0"/>
                <w:color w:val="000000"/>
                <w:kern w:val="0"/>
                <w:szCs w:val="21"/>
              </w:rPr>
            </w:pPr>
          </w:p>
        </w:tc>
        <w:tc>
          <w:tcPr>
            <w:tcW w:w="415" w:type="dxa"/>
            <w:vMerge w:val="continue"/>
            <w:tcBorders>
              <w:tl2br w:val="nil"/>
              <w:tr2bl w:val="nil"/>
            </w:tcBorders>
            <w:shd w:val="clear" w:color="auto" w:fill="auto"/>
            <w:noWrap/>
            <w:tcMar>
              <w:top w:w="15" w:type="dxa"/>
              <w:left w:w="15" w:type="dxa"/>
              <w:right w:w="15" w:type="dxa"/>
            </w:tcMar>
            <w:vAlign w:val="center"/>
          </w:tcPr>
          <w:p w14:paraId="0674946E">
            <w:pPr>
              <w:widowControl/>
              <w:jc w:val="center"/>
              <w:rPr>
                <w:rFonts w:ascii="宋体" w:hAnsi="宋体" w:cs="宋体"/>
                <w:snapToGrid w:val="0"/>
                <w:color w:val="000000"/>
                <w:kern w:val="0"/>
                <w:szCs w:val="21"/>
                <w:lang w:eastAsia="en-US"/>
              </w:rPr>
            </w:pPr>
          </w:p>
        </w:tc>
        <w:tc>
          <w:tcPr>
            <w:tcW w:w="1387" w:type="dxa"/>
            <w:vMerge w:val="continue"/>
            <w:tcBorders>
              <w:tl2br w:val="nil"/>
              <w:tr2bl w:val="nil"/>
            </w:tcBorders>
            <w:shd w:val="clear" w:color="auto" w:fill="auto"/>
            <w:noWrap/>
            <w:tcMar>
              <w:top w:w="15" w:type="dxa"/>
              <w:left w:w="15" w:type="dxa"/>
              <w:right w:w="15" w:type="dxa"/>
            </w:tcMar>
            <w:vAlign w:val="center"/>
          </w:tcPr>
          <w:p w14:paraId="294AF223">
            <w:pPr>
              <w:widowControl/>
              <w:jc w:val="center"/>
              <w:rPr>
                <w:rFonts w:ascii="宋体" w:hAnsi="宋体" w:cs="宋体"/>
                <w:snapToGrid w:val="0"/>
                <w:color w:val="000000"/>
                <w:kern w:val="0"/>
                <w:szCs w:val="21"/>
                <w:lang w:bidi="ar"/>
              </w:rPr>
            </w:pPr>
          </w:p>
        </w:tc>
      </w:tr>
      <w:tr w14:paraId="237EE3A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1D55B110">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54</w:t>
            </w:r>
          </w:p>
        </w:tc>
        <w:tc>
          <w:tcPr>
            <w:tcW w:w="1361" w:type="dxa"/>
            <w:tcBorders>
              <w:tl2br w:val="nil"/>
              <w:tr2bl w:val="nil"/>
            </w:tcBorders>
            <w:shd w:val="clear" w:color="auto" w:fill="auto"/>
            <w:noWrap/>
            <w:tcMar>
              <w:top w:w="15" w:type="dxa"/>
              <w:left w:w="15" w:type="dxa"/>
              <w:right w:w="15" w:type="dxa"/>
            </w:tcMar>
            <w:vAlign w:val="center"/>
          </w:tcPr>
          <w:p w14:paraId="427DF555">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A54942.0270</w:t>
            </w:r>
          </w:p>
        </w:tc>
        <w:tc>
          <w:tcPr>
            <w:tcW w:w="2687" w:type="dxa"/>
            <w:vMerge w:val="restart"/>
            <w:tcBorders>
              <w:tl2br w:val="nil"/>
              <w:tr2bl w:val="nil"/>
            </w:tcBorders>
            <w:shd w:val="clear" w:color="auto" w:fill="auto"/>
            <w:noWrap/>
            <w:tcMar>
              <w:top w:w="15" w:type="dxa"/>
              <w:left w:w="15" w:type="dxa"/>
              <w:right w:w="15" w:type="dxa"/>
            </w:tcMar>
            <w:vAlign w:val="center"/>
          </w:tcPr>
          <w:p w14:paraId="6CB0D0F7">
            <w:pPr>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起升油缸连接油管</w:t>
            </w:r>
          </w:p>
        </w:tc>
        <w:tc>
          <w:tcPr>
            <w:tcW w:w="415" w:type="dxa"/>
            <w:vMerge w:val="restart"/>
            <w:tcBorders>
              <w:tl2br w:val="nil"/>
              <w:tr2bl w:val="nil"/>
            </w:tcBorders>
            <w:shd w:val="clear" w:color="auto" w:fill="auto"/>
            <w:noWrap/>
            <w:tcMar>
              <w:top w:w="15" w:type="dxa"/>
              <w:left w:w="15" w:type="dxa"/>
              <w:right w:w="15" w:type="dxa"/>
            </w:tcMar>
            <w:vAlign w:val="center"/>
          </w:tcPr>
          <w:p w14:paraId="03CCE439">
            <w:pPr>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2</w:t>
            </w:r>
          </w:p>
        </w:tc>
        <w:tc>
          <w:tcPr>
            <w:tcW w:w="1387" w:type="dxa"/>
            <w:vMerge w:val="restart"/>
            <w:tcBorders>
              <w:tl2br w:val="nil"/>
              <w:tr2bl w:val="nil"/>
            </w:tcBorders>
            <w:shd w:val="clear" w:color="auto" w:fill="auto"/>
            <w:noWrap/>
            <w:tcMar>
              <w:top w:w="15" w:type="dxa"/>
              <w:left w:w="15" w:type="dxa"/>
              <w:right w:w="15" w:type="dxa"/>
            </w:tcMar>
            <w:vAlign w:val="center"/>
          </w:tcPr>
          <w:p w14:paraId="326B0F86">
            <w:pPr>
              <w:widowControl/>
              <w:jc w:val="center"/>
              <w:rPr>
                <w:rFonts w:ascii="宋体" w:hAnsi="宋体" w:cs="宋体"/>
                <w:snapToGrid w:val="0"/>
                <w:color w:val="000000"/>
                <w:kern w:val="0"/>
                <w:szCs w:val="21"/>
                <w:lang w:bidi="ar"/>
              </w:rPr>
            </w:pPr>
          </w:p>
        </w:tc>
      </w:tr>
      <w:tr w14:paraId="012E667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0D9A1864">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55</w:t>
            </w:r>
          </w:p>
        </w:tc>
        <w:tc>
          <w:tcPr>
            <w:tcW w:w="1361" w:type="dxa"/>
            <w:tcBorders>
              <w:tl2br w:val="nil"/>
              <w:tr2bl w:val="nil"/>
            </w:tcBorders>
            <w:shd w:val="clear" w:color="auto" w:fill="auto"/>
            <w:noWrap/>
            <w:tcMar>
              <w:top w:w="15" w:type="dxa"/>
              <w:left w:w="15" w:type="dxa"/>
              <w:right w:w="15" w:type="dxa"/>
            </w:tcMar>
            <w:vAlign w:val="center"/>
          </w:tcPr>
          <w:p w14:paraId="405059B9">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A54942.0260</w:t>
            </w:r>
          </w:p>
        </w:tc>
        <w:tc>
          <w:tcPr>
            <w:tcW w:w="2687" w:type="dxa"/>
            <w:vMerge w:val="continue"/>
            <w:tcBorders>
              <w:tl2br w:val="nil"/>
              <w:tr2bl w:val="nil"/>
            </w:tcBorders>
            <w:shd w:val="clear" w:color="auto" w:fill="auto"/>
            <w:noWrap/>
            <w:tcMar>
              <w:top w:w="15" w:type="dxa"/>
              <w:left w:w="15" w:type="dxa"/>
              <w:right w:w="15" w:type="dxa"/>
            </w:tcMar>
            <w:vAlign w:val="center"/>
          </w:tcPr>
          <w:p w14:paraId="74FE21F7">
            <w:pPr>
              <w:jc w:val="center"/>
              <w:rPr>
                <w:rFonts w:ascii="宋体" w:hAnsi="宋体" w:cs="宋体"/>
                <w:snapToGrid w:val="0"/>
                <w:color w:val="000000"/>
                <w:kern w:val="0"/>
                <w:szCs w:val="21"/>
              </w:rPr>
            </w:pPr>
          </w:p>
        </w:tc>
        <w:tc>
          <w:tcPr>
            <w:tcW w:w="415" w:type="dxa"/>
            <w:vMerge w:val="continue"/>
            <w:tcBorders>
              <w:tl2br w:val="nil"/>
              <w:tr2bl w:val="nil"/>
            </w:tcBorders>
            <w:shd w:val="clear" w:color="auto" w:fill="auto"/>
            <w:noWrap/>
            <w:tcMar>
              <w:top w:w="15" w:type="dxa"/>
              <w:left w:w="15" w:type="dxa"/>
              <w:right w:w="15" w:type="dxa"/>
            </w:tcMar>
            <w:vAlign w:val="center"/>
          </w:tcPr>
          <w:p w14:paraId="34F57420">
            <w:pPr>
              <w:widowControl/>
              <w:jc w:val="center"/>
              <w:rPr>
                <w:rFonts w:ascii="宋体" w:hAnsi="宋体" w:cs="宋体"/>
                <w:snapToGrid w:val="0"/>
                <w:color w:val="000000"/>
                <w:kern w:val="0"/>
                <w:szCs w:val="21"/>
                <w:lang w:eastAsia="en-US"/>
              </w:rPr>
            </w:pPr>
          </w:p>
        </w:tc>
        <w:tc>
          <w:tcPr>
            <w:tcW w:w="1387" w:type="dxa"/>
            <w:vMerge w:val="continue"/>
            <w:tcBorders>
              <w:tl2br w:val="nil"/>
              <w:tr2bl w:val="nil"/>
            </w:tcBorders>
            <w:shd w:val="clear" w:color="auto" w:fill="auto"/>
            <w:noWrap/>
            <w:tcMar>
              <w:top w:w="15" w:type="dxa"/>
              <w:left w:w="15" w:type="dxa"/>
              <w:right w:w="15" w:type="dxa"/>
            </w:tcMar>
            <w:vAlign w:val="center"/>
          </w:tcPr>
          <w:p w14:paraId="599592D8">
            <w:pPr>
              <w:widowControl/>
              <w:jc w:val="center"/>
              <w:rPr>
                <w:rFonts w:ascii="宋体" w:hAnsi="宋体" w:cs="宋体"/>
                <w:snapToGrid w:val="0"/>
                <w:color w:val="000000"/>
                <w:kern w:val="0"/>
                <w:szCs w:val="21"/>
                <w:lang w:bidi="ar"/>
              </w:rPr>
            </w:pPr>
          </w:p>
        </w:tc>
      </w:tr>
      <w:tr w14:paraId="015DB84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69A28D80">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56</w:t>
            </w:r>
          </w:p>
        </w:tc>
        <w:tc>
          <w:tcPr>
            <w:tcW w:w="1361" w:type="dxa"/>
            <w:tcBorders>
              <w:tl2br w:val="nil"/>
              <w:tr2bl w:val="nil"/>
            </w:tcBorders>
            <w:shd w:val="clear" w:color="auto" w:fill="auto"/>
            <w:noWrap/>
            <w:tcMar>
              <w:top w:w="15" w:type="dxa"/>
              <w:left w:w="15" w:type="dxa"/>
              <w:right w:w="15" w:type="dxa"/>
            </w:tcMar>
            <w:vAlign w:val="center"/>
          </w:tcPr>
          <w:p w14:paraId="66238F2D">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923978.1051</w:t>
            </w:r>
          </w:p>
        </w:tc>
        <w:tc>
          <w:tcPr>
            <w:tcW w:w="2687" w:type="dxa"/>
            <w:tcBorders>
              <w:tl2br w:val="nil"/>
              <w:tr2bl w:val="nil"/>
            </w:tcBorders>
            <w:noWrap/>
            <w:tcMar>
              <w:top w:w="15" w:type="dxa"/>
              <w:left w:w="15" w:type="dxa"/>
              <w:right w:w="15" w:type="dxa"/>
            </w:tcMar>
            <w:vAlign w:val="center"/>
          </w:tcPr>
          <w:p w14:paraId="3B21F123">
            <w:pPr>
              <w:widowControl/>
              <w:wordWrap w:val="0"/>
              <w:jc w:val="center"/>
              <w:textAlignment w:val="bottom"/>
              <w:rPr>
                <w:rFonts w:ascii="宋体" w:hAnsi="宋体" w:cs="宋体"/>
                <w:szCs w:val="21"/>
              </w:rPr>
            </w:pPr>
            <w:r>
              <w:rPr>
                <w:rFonts w:hint="eastAsia" w:ascii="宋体" w:hAnsi="宋体" w:cs="宋体"/>
                <w:szCs w:val="21"/>
              </w:rPr>
              <w:t>更换内门架起升油缸修理包</w:t>
            </w:r>
          </w:p>
          <w:p w14:paraId="4BF7F9FD">
            <w:pPr>
              <w:widowControl/>
              <w:wordWrap w:val="0"/>
              <w:jc w:val="center"/>
              <w:textAlignment w:val="bottom"/>
              <w:rPr>
                <w:rFonts w:ascii="宋体" w:hAnsi="宋体" w:cs="宋体"/>
                <w:color w:val="000000"/>
                <w:szCs w:val="21"/>
              </w:rPr>
            </w:pPr>
            <w:r>
              <w:rPr>
                <w:rFonts w:hint="eastAsia" w:ascii="宋体" w:hAnsi="宋体" w:cs="宋体"/>
                <w:szCs w:val="21"/>
              </w:rPr>
              <w:t>▲（推荐进口品牌：NOK、HALLITE、FAG</w:t>
            </w:r>
            <w:r>
              <w:rPr>
                <w:rFonts w:hint="eastAsia" w:ascii="宋体" w:hAnsi="宋体" w:cs="宋体"/>
                <w:szCs w:val="21"/>
                <w:lang w:bidi="ar"/>
              </w:rPr>
              <w:t>或</w:t>
            </w:r>
            <w:r>
              <w:rPr>
                <w:rFonts w:hint="eastAsia" w:ascii="宋体" w:hAnsi="宋体" w:cs="宋体"/>
                <w:szCs w:val="21"/>
                <w:lang w:eastAsia="zh-CN" w:bidi="ar"/>
              </w:rPr>
              <w:t>相当于</w:t>
            </w:r>
            <w:r>
              <w:rPr>
                <w:rFonts w:hint="eastAsia" w:ascii="宋体" w:hAnsi="宋体" w:cs="宋体"/>
                <w:szCs w:val="21"/>
              </w:rPr>
              <w:t>）</w:t>
            </w:r>
          </w:p>
        </w:tc>
        <w:tc>
          <w:tcPr>
            <w:tcW w:w="415" w:type="dxa"/>
            <w:tcBorders>
              <w:tl2br w:val="nil"/>
              <w:tr2bl w:val="nil"/>
            </w:tcBorders>
            <w:shd w:val="clear" w:color="auto" w:fill="auto"/>
            <w:noWrap/>
            <w:tcMar>
              <w:top w:w="15" w:type="dxa"/>
              <w:left w:w="15" w:type="dxa"/>
              <w:right w:w="15" w:type="dxa"/>
            </w:tcMar>
            <w:vAlign w:val="center"/>
          </w:tcPr>
          <w:p w14:paraId="4D875DF0">
            <w:pPr>
              <w:widowControl/>
              <w:jc w:val="center"/>
              <w:rPr>
                <w:rFonts w:ascii="宋体" w:hAnsi="宋体" w:cs="宋体"/>
                <w:color w:val="000000"/>
                <w:szCs w:val="21"/>
              </w:rPr>
            </w:pPr>
            <w:r>
              <w:rPr>
                <w:rFonts w:hint="eastAsia" w:ascii="宋体" w:hAnsi="宋体" w:cs="宋体"/>
                <w:snapToGrid w:val="0"/>
                <w:color w:val="000000"/>
                <w:kern w:val="0"/>
                <w:szCs w:val="21"/>
                <w:lang w:bidi="ar"/>
              </w:rPr>
              <w:t>2</w:t>
            </w:r>
          </w:p>
        </w:tc>
        <w:tc>
          <w:tcPr>
            <w:tcW w:w="1387" w:type="dxa"/>
            <w:tcBorders>
              <w:tl2br w:val="nil"/>
              <w:tr2bl w:val="nil"/>
            </w:tcBorders>
            <w:shd w:val="clear" w:color="auto" w:fill="auto"/>
            <w:noWrap/>
            <w:tcMar>
              <w:top w:w="15" w:type="dxa"/>
              <w:left w:w="15" w:type="dxa"/>
              <w:right w:w="15" w:type="dxa"/>
            </w:tcMar>
            <w:vAlign w:val="center"/>
          </w:tcPr>
          <w:p w14:paraId="6322DDB2">
            <w:pPr>
              <w:jc w:val="center"/>
              <w:rPr>
                <w:rFonts w:ascii="宋体" w:hAnsi="宋体" w:cs="宋体"/>
                <w:snapToGrid w:val="0"/>
                <w:color w:val="000000"/>
                <w:kern w:val="0"/>
                <w:szCs w:val="21"/>
                <w:lang w:bidi="ar"/>
              </w:rPr>
            </w:pPr>
          </w:p>
        </w:tc>
      </w:tr>
      <w:tr w14:paraId="79C4E17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71A7FC20">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57</w:t>
            </w:r>
          </w:p>
        </w:tc>
        <w:tc>
          <w:tcPr>
            <w:tcW w:w="1361" w:type="dxa"/>
            <w:tcBorders>
              <w:tl2br w:val="nil"/>
              <w:tr2bl w:val="nil"/>
            </w:tcBorders>
            <w:shd w:val="clear" w:color="auto" w:fill="auto"/>
            <w:noWrap/>
            <w:tcMar>
              <w:top w:w="15" w:type="dxa"/>
              <w:left w:w="15" w:type="dxa"/>
              <w:right w:w="15" w:type="dxa"/>
            </w:tcMar>
            <w:vAlign w:val="center"/>
          </w:tcPr>
          <w:p w14:paraId="3A920AC2">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924472.0009</w:t>
            </w:r>
          </w:p>
        </w:tc>
        <w:tc>
          <w:tcPr>
            <w:tcW w:w="2687" w:type="dxa"/>
            <w:tcBorders>
              <w:tl2br w:val="nil"/>
              <w:tr2bl w:val="nil"/>
            </w:tcBorders>
            <w:noWrap/>
            <w:tcMar>
              <w:top w:w="15" w:type="dxa"/>
              <w:left w:w="15" w:type="dxa"/>
              <w:right w:w="15" w:type="dxa"/>
            </w:tcMar>
            <w:vAlign w:val="center"/>
          </w:tcPr>
          <w:p w14:paraId="303DA937">
            <w:pPr>
              <w:widowControl/>
              <w:wordWrap w:val="0"/>
              <w:jc w:val="center"/>
              <w:textAlignment w:val="bottom"/>
              <w:rPr>
                <w:rFonts w:ascii="宋体" w:hAnsi="宋体" w:cs="宋体"/>
                <w:szCs w:val="21"/>
              </w:rPr>
            </w:pPr>
            <w:r>
              <w:rPr>
                <w:rFonts w:hint="eastAsia" w:ascii="宋体" w:hAnsi="宋体" w:cs="宋体"/>
                <w:szCs w:val="21"/>
              </w:rPr>
              <w:t>更换牌坊起升油缸总成</w:t>
            </w:r>
          </w:p>
          <w:p w14:paraId="179932C4">
            <w:pPr>
              <w:widowControl/>
              <w:wordWrap w:val="0"/>
              <w:jc w:val="center"/>
              <w:textAlignment w:val="bottom"/>
              <w:rPr>
                <w:rFonts w:ascii="宋体" w:hAnsi="宋体" w:cs="宋体"/>
                <w:color w:val="000000"/>
                <w:szCs w:val="21"/>
              </w:rPr>
            </w:pPr>
            <w:r>
              <w:rPr>
                <w:rFonts w:hint="eastAsia" w:ascii="宋体" w:hAnsi="宋体" w:cs="宋体"/>
                <w:szCs w:val="21"/>
              </w:rPr>
              <w:t>★（</w:t>
            </w:r>
            <w:r>
              <w:rPr>
                <w:rFonts w:hint="eastAsia"/>
              </w:rPr>
              <w:t>项目维修改造完成后，内外门架总成更换项目验收前中标人须</w:t>
            </w:r>
            <w:r>
              <w:rPr>
                <w:rFonts w:hint="eastAsia" w:ascii="宋体" w:hAnsi="宋体" w:cs="宋体"/>
                <w:szCs w:val="21"/>
              </w:rPr>
              <w:t>卡尔玛原厂件并提供出厂合格证）</w:t>
            </w:r>
          </w:p>
        </w:tc>
        <w:tc>
          <w:tcPr>
            <w:tcW w:w="415" w:type="dxa"/>
            <w:tcBorders>
              <w:tl2br w:val="nil"/>
              <w:tr2bl w:val="nil"/>
            </w:tcBorders>
            <w:shd w:val="clear" w:color="auto" w:fill="auto"/>
            <w:noWrap/>
            <w:tcMar>
              <w:top w:w="15" w:type="dxa"/>
              <w:left w:w="15" w:type="dxa"/>
              <w:right w:w="15" w:type="dxa"/>
            </w:tcMar>
            <w:vAlign w:val="center"/>
          </w:tcPr>
          <w:p w14:paraId="1FDE8186">
            <w:pPr>
              <w:widowControl/>
              <w:jc w:val="center"/>
              <w:rPr>
                <w:rFonts w:ascii="宋体" w:hAnsi="宋体" w:cs="宋体"/>
                <w:color w:val="000000"/>
                <w:szCs w:val="21"/>
              </w:rPr>
            </w:pPr>
            <w:r>
              <w:rPr>
                <w:rFonts w:hint="eastAsia" w:ascii="宋体" w:hAnsi="宋体" w:cs="宋体"/>
                <w:snapToGrid w:val="0"/>
                <w:color w:val="000000"/>
                <w:kern w:val="0"/>
                <w:szCs w:val="21"/>
                <w:lang w:bidi="ar"/>
              </w:rPr>
              <w:t>2</w:t>
            </w:r>
          </w:p>
        </w:tc>
        <w:tc>
          <w:tcPr>
            <w:tcW w:w="1387" w:type="dxa"/>
            <w:tcBorders>
              <w:tl2br w:val="nil"/>
              <w:tr2bl w:val="nil"/>
            </w:tcBorders>
            <w:shd w:val="clear" w:color="auto" w:fill="auto"/>
            <w:noWrap/>
            <w:tcMar>
              <w:top w:w="15" w:type="dxa"/>
              <w:left w:w="15" w:type="dxa"/>
              <w:right w:w="15" w:type="dxa"/>
            </w:tcMar>
            <w:vAlign w:val="center"/>
          </w:tcPr>
          <w:p w14:paraId="250C4660">
            <w:pPr>
              <w:jc w:val="center"/>
              <w:rPr>
                <w:rFonts w:ascii="宋体" w:hAnsi="宋体" w:cs="宋体"/>
                <w:color w:val="000000"/>
                <w:szCs w:val="21"/>
              </w:rPr>
            </w:pPr>
          </w:p>
        </w:tc>
      </w:tr>
      <w:tr w14:paraId="1648FA6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0091A313">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58</w:t>
            </w:r>
          </w:p>
        </w:tc>
        <w:tc>
          <w:tcPr>
            <w:tcW w:w="1361" w:type="dxa"/>
            <w:tcBorders>
              <w:tl2br w:val="nil"/>
              <w:tr2bl w:val="nil"/>
            </w:tcBorders>
            <w:shd w:val="clear" w:color="auto" w:fill="auto"/>
            <w:noWrap/>
            <w:tcMar>
              <w:top w:w="15" w:type="dxa"/>
              <w:left w:w="15" w:type="dxa"/>
              <w:right w:w="15" w:type="dxa"/>
            </w:tcMar>
            <w:vAlign w:val="center"/>
          </w:tcPr>
          <w:p w14:paraId="3F6B5931">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920744.0019</w:t>
            </w:r>
          </w:p>
        </w:tc>
        <w:tc>
          <w:tcPr>
            <w:tcW w:w="2687" w:type="dxa"/>
            <w:tcBorders>
              <w:tl2br w:val="nil"/>
              <w:tr2bl w:val="nil"/>
            </w:tcBorders>
            <w:noWrap/>
            <w:tcMar>
              <w:top w:w="15" w:type="dxa"/>
              <w:left w:w="15" w:type="dxa"/>
              <w:right w:w="15" w:type="dxa"/>
            </w:tcMar>
            <w:vAlign w:val="center"/>
          </w:tcPr>
          <w:p w14:paraId="5F4EAC93">
            <w:pPr>
              <w:widowControl/>
              <w:wordWrap w:val="0"/>
              <w:jc w:val="center"/>
              <w:textAlignment w:val="bottom"/>
              <w:rPr>
                <w:rFonts w:ascii="宋体" w:hAnsi="宋体" w:cs="宋体"/>
                <w:szCs w:val="21"/>
              </w:rPr>
            </w:pPr>
            <w:r>
              <w:rPr>
                <w:rFonts w:hint="eastAsia" w:ascii="宋体" w:hAnsi="宋体" w:cs="宋体"/>
                <w:szCs w:val="21"/>
              </w:rPr>
              <w:t>更换平移油缸修理包</w:t>
            </w:r>
          </w:p>
          <w:p w14:paraId="32C4C58C">
            <w:pPr>
              <w:widowControl/>
              <w:wordWrap w:val="0"/>
              <w:jc w:val="center"/>
              <w:textAlignment w:val="bottom"/>
              <w:rPr>
                <w:rFonts w:ascii="宋体" w:hAnsi="宋体" w:cs="宋体"/>
                <w:color w:val="000000"/>
                <w:szCs w:val="21"/>
              </w:rPr>
            </w:pPr>
            <w:r>
              <w:rPr>
                <w:rFonts w:hint="eastAsia" w:ascii="宋体" w:hAnsi="宋体" w:cs="宋体"/>
                <w:szCs w:val="21"/>
              </w:rPr>
              <w:t>▲（推荐进口品牌：NOK、HALLITE、FAG</w:t>
            </w:r>
            <w:r>
              <w:rPr>
                <w:rFonts w:hint="eastAsia" w:ascii="宋体" w:hAnsi="宋体" w:cs="宋体"/>
                <w:szCs w:val="21"/>
                <w:lang w:bidi="ar"/>
              </w:rPr>
              <w:t>或</w:t>
            </w:r>
            <w:r>
              <w:rPr>
                <w:rFonts w:hint="eastAsia" w:ascii="宋体" w:hAnsi="宋体" w:cs="宋体"/>
                <w:szCs w:val="21"/>
                <w:lang w:eastAsia="zh-CN" w:bidi="ar"/>
              </w:rPr>
              <w:t>相当于</w:t>
            </w:r>
            <w:r>
              <w:rPr>
                <w:rFonts w:hint="eastAsia" w:ascii="宋体" w:hAnsi="宋体" w:cs="宋体"/>
                <w:szCs w:val="21"/>
              </w:rPr>
              <w:t>）</w:t>
            </w:r>
          </w:p>
        </w:tc>
        <w:tc>
          <w:tcPr>
            <w:tcW w:w="415" w:type="dxa"/>
            <w:tcBorders>
              <w:tl2br w:val="nil"/>
              <w:tr2bl w:val="nil"/>
            </w:tcBorders>
            <w:shd w:val="clear" w:color="auto" w:fill="auto"/>
            <w:noWrap/>
            <w:tcMar>
              <w:top w:w="15" w:type="dxa"/>
              <w:left w:w="15" w:type="dxa"/>
              <w:right w:w="15" w:type="dxa"/>
            </w:tcMar>
            <w:vAlign w:val="center"/>
          </w:tcPr>
          <w:p w14:paraId="3C747D7C">
            <w:pPr>
              <w:widowControl/>
              <w:jc w:val="center"/>
              <w:rPr>
                <w:rFonts w:ascii="宋体" w:hAnsi="宋体" w:cs="宋体"/>
                <w:color w:val="000000"/>
                <w:szCs w:val="21"/>
              </w:rPr>
            </w:pPr>
            <w:r>
              <w:rPr>
                <w:rFonts w:hint="eastAsia" w:ascii="宋体" w:hAnsi="宋体" w:cs="宋体"/>
                <w:snapToGrid w:val="0"/>
                <w:color w:val="000000"/>
                <w:kern w:val="0"/>
                <w:szCs w:val="21"/>
                <w:lang w:bidi="ar"/>
              </w:rPr>
              <w:t>2</w:t>
            </w:r>
          </w:p>
        </w:tc>
        <w:tc>
          <w:tcPr>
            <w:tcW w:w="1387" w:type="dxa"/>
            <w:tcBorders>
              <w:tl2br w:val="nil"/>
              <w:tr2bl w:val="nil"/>
            </w:tcBorders>
            <w:shd w:val="clear" w:color="auto" w:fill="auto"/>
            <w:noWrap/>
            <w:tcMar>
              <w:top w:w="15" w:type="dxa"/>
              <w:left w:w="15" w:type="dxa"/>
              <w:right w:w="15" w:type="dxa"/>
            </w:tcMar>
            <w:vAlign w:val="center"/>
          </w:tcPr>
          <w:p w14:paraId="08C0D2D0">
            <w:pPr>
              <w:jc w:val="center"/>
              <w:rPr>
                <w:rFonts w:ascii="宋体" w:hAnsi="宋体" w:cs="宋体"/>
                <w:color w:val="000000"/>
                <w:szCs w:val="21"/>
              </w:rPr>
            </w:pPr>
          </w:p>
        </w:tc>
      </w:tr>
      <w:tr w14:paraId="440363B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1FFB1453">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59</w:t>
            </w:r>
          </w:p>
        </w:tc>
        <w:tc>
          <w:tcPr>
            <w:tcW w:w="1361" w:type="dxa"/>
            <w:tcBorders>
              <w:tl2br w:val="nil"/>
              <w:tr2bl w:val="nil"/>
            </w:tcBorders>
            <w:shd w:val="clear" w:color="auto" w:fill="auto"/>
            <w:noWrap/>
            <w:tcMar>
              <w:top w:w="15" w:type="dxa"/>
              <w:left w:w="15" w:type="dxa"/>
              <w:right w:w="15" w:type="dxa"/>
            </w:tcMar>
            <w:vAlign w:val="center"/>
          </w:tcPr>
          <w:p w14:paraId="2BEAE0C2">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923978.1027</w:t>
            </w:r>
          </w:p>
        </w:tc>
        <w:tc>
          <w:tcPr>
            <w:tcW w:w="2687" w:type="dxa"/>
            <w:tcBorders>
              <w:tl2br w:val="nil"/>
              <w:tr2bl w:val="nil"/>
            </w:tcBorders>
            <w:noWrap/>
            <w:tcMar>
              <w:top w:w="15" w:type="dxa"/>
              <w:left w:w="15" w:type="dxa"/>
              <w:right w:w="15" w:type="dxa"/>
            </w:tcMar>
            <w:vAlign w:val="center"/>
          </w:tcPr>
          <w:p w14:paraId="5ABC5BB0">
            <w:pPr>
              <w:widowControl/>
              <w:wordWrap w:val="0"/>
              <w:jc w:val="center"/>
              <w:textAlignment w:val="bottom"/>
              <w:rPr>
                <w:rFonts w:ascii="宋体" w:hAnsi="宋体" w:cs="宋体"/>
                <w:szCs w:val="21"/>
              </w:rPr>
            </w:pPr>
            <w:r>
              <w:rPr>
                <w:rFonts w:hint="eastAsia" w:ascii="宋体" w:hAnsi="宋体" w:cs="宋体"/>
                <w:szCs w:val="21"/>
              </w:rPr>
              <w:t>更换倾斜油缸修理包</w:t>
            </w:r>
          </w:p>
          <w:p w14:paraId="037AC5F1">
            <w:pPr>
              <w:widowControl/>
              <w:wordWrap w:val="0"/>
              <w:jc w:val="center"/>
              <w:textAlignment w:val="bottom"/>
              <w:rPr>
                <w:rFonts w:ascii="宋体" w:hAnsi="宋体" w:cs="宋体"/>
                <w:color w:val="000000"/>
                <w:szCs w:val="21"/>
              </w:rPr>
            </w:pPr>
            <w:r>
              <w:rPr>
                <w:rFonts w:hint="eastAsia" w:ascii="宋体" w:hAnsi="宋体" w:cs="宋体"/>
                <w:szCs w:val="21"/>
              </w:rPr>
              <w:t>▲（推荐进口品牌：NOK、HALLITE、FAG</w:t>
            </w:r>
            <w:r>
              <w:rPr>
                <w:rFonts w:hint="eastAsia" w:ascii="宋体" w:hAnsi="宋体" w:cs="宋体"/>
                <w:szCs w:val="21"/>
                <w:lang w:bidi="ar"/>
              </w:rPr>
              <w:t>或</w:t>
            </w:r>
            <w:r>
              <w:rPr>
                <w:rFonts w:hint="eastAsia" w:ascii="宋体" w:hAnsi="宋体" w:cs="宋体"/>
                <w:szCs w:val="21"/>
                <w:lang w:eastAsia="zh-CN" w:bidi="ar"/>
              </w:rPr>
              <w:t>相当于</w:t>
            </w:r>
            <w:r>
              <w:rPr>
                <w:rFonts w:hint="eastAsia" w:ascii="宋体" w:hAnsi="宋体" w:cs="宋体"/>
                <w:szCs w:val="21"/>
              </w:rPr>
              <w:t>）</w:t>
            </w:r>
          </w:p>
        </w:tc>
        <w:tc>
          <w:tcPr>
            <w:tcW w:w="415" w:type="dxa"/>
            <w:tcBorders>
              <w:tl2br w:val="nil"/>
              <w:tr2bl w:val="nil"/>
            </w:tcBorders>
            <w:shd w:val="clear" w:color="auto" w:fill="auto"/>
            <w:noWrap/>
            <w:tcMar>
              <w:top w:w="15" w:type="dxa"/>
              <w:left w:w="15" w:type="dxa"/>
              <w:right w:w="15" w:type="dxa"/>
            </w:tcMar>
            <w:vAlign w:val="center"/>
          </w:tcPr>
          <w:p w14:paraId="5A11DAD6">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2</w:t>
            </w:r>
          </w:p>
        </w:tc>
        <w:tc>
          <w:tcPr>
            <w:tcW w:w="1387" w:type="dxa"/>
            <w:tcBorders>
              <w:tl2br w:val="nil"/>
              <w:tr2bl w:val="nil"/>
            </w:tcBorders>
            <w:shd w:val="clear" w:color="auto" w:fill="auto"/>
            <w:noWrap/>
            <w:tcMar>
              <w:top w:w="15" w:type="dxa"/>
              <w:left w:w="15" w:type="dxa"/>
              <w:right w:w="15" w:type="dxa"/>
            </w:tcMar>
            <w:vAlign w:val="center"/>
          </w:tcPr>
          <w:p w14:paraId="73A0D9C6">
            <w:pPr>
              <w:widowControl/>
              <w:jc w:val="center"/>
              <w:rPr>
                <w:rFonts w:ascii="宋体" w:hAnsi="宋体" w:cs="宋体"/>
                <w:snapToGrid w:val="0"/>
                <w:color w:val="000000"/>
                <w:kern w:val="0"/>
                <w:szCs w:val="21"/>
                <w:lang w:eastAsia="en-US"/>
              </w:rPr>
            </w:pPr>
          </w:p>
        </w:tc>
      </w:tr>
      <w:tr w14:paraId="674B66B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13962DE7">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60</w:t>
            </w:r>
          </w:p>
        </w:tc>
        <w:tc>
          <w:tcPr>
            <w:tcW w:w="1361" w:type="dxa"/>
            <w:tcBorders>
              <w:tl2br w:val="nil"/>
              <w:tr2bl w:val="nil"/>
            </w:tcBorders>
            <w:shd w:val="clear" w:color="auto" w:fill="auto"/>
            <w:noWrap/>
            <w:tcMar>
              <w:top w:w="15" w:type="dxa"/>
              <w:left w:w="15" w:type="dxa"/>
              <w:right w:w="15" w:type="dxa"/>
            </w:tcMar>
            <w:vAlign w:val="center"/>
          </w:tcPr>
          <w:p w14:paraId="0C717F5A">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N00163.1700</w:t>
            </w:r>
          </w:p>
        </w:tc>
        <w:tc>
          <w:tcPr>
            <w:tcW w:w="2687" w:type="dxa"/>
            <w:tcBorders>
              <w:tl2br w:val="nil"/>
              <w:tr2bl w:val="nil"/>
            </w:tcBorders>
            <w:noWrap/>
            <w:tcMar>
              <w:top w:w="15" w:type="dxa"/>
              <w:left w:w="15" w:type="dxa"/>
              <w:right w:w="15" w:type="dxa"/>
            </w:tcMar>
            <w:vAlign w:val="center"/>
          </w:tcPr>
          <w:p w14:paraId="449590C0">
            <w:pPr>
              <w:widowControl/>
              <w:wordWrap w:val="0"/>
              <w:jc w:val="center"/>
              <w:textAlignment w:val="bottom"/>
              <w:rPr>
                <w:rFonts w:ascii="宋体" w:hAnsi="宋体" w:cs="宋体"/>
                <w:szCs w:val="21"/>
              </w:rPr>
            </w:pPr>
            <w:r>
              <w:rPr>
                <w:rFonts w:hint="eastAsia" w:ascii="宋体" w:hAnsi="宋体" w:cs="宋体"/>
                <w:szCs w:val="21"/>
              </w:rPr>
              <w:t>更转向油缸修理包</w:t>
            </w:r>
          </w:p>
          <w:p w14:paraId="79CA797C">
            <w:pPr>
              <w:widowControl/>
              <w:wordWrap w:val="0"/>
              <w:jc w:val="center"/>
              <w:textAlignment w:val="bottom"/>
              <w:rPr>
                <w:rFonts w:ascii="宋体" w:hAnsi="宋体" w:cs="宋体"/>
                <w:color w:val="000000"/>
                <w:szCs w:val="21"/>
              </w:rPr>
            </w:pPr>
            <w:r>
              <w:rPr>
                <w:rFonts w:hint="eastAsia" w:ascii="宋体" w:hAnsi="宋体" w:cs="宋体"/>
                <w:szCs w:val="21"/>
              </w:rPr>
              <w:t>▲（推荐进口品牌：NOK、HALLITE、FAG</w:t>
            </w:r>
            <w:r>
              <w:rPr>
                <w:rFonts w:hint="eastAsia" w:ascii="宋体" w:hAnsi="宋体" w:cs="宋体"/>
                <w:szCs w:val="21"/>
                <w:lang w:bidi="ar"/>
              </w:rPr>
              <w:t>或</w:t>
            </w:r>
            <w:r>
              <w:rPr>
                <w:rFonts w:hint="eastAsia" w:ascii="宋体" w:hAnsi="宋体" w:cs="宋体"/>
                <w:szCs w:val="21"/>
                <w:lang w:eastAsia="zh-CN" w:bidi="ar"/>
              </w:rPr>
              <w:t>相当于</w:t>
            </w:r>
            <w:r>
              <w:rPr>
                <w:rFonts w:hint="eastAsia" w:ascii="宋体" w:hAnsi="宋体" w:cs="宋体"/>
                <w:szCs w:val="21"/>
              </w:rPr>
              <w:t>）</w:t>
            </w:r>
          </w:p>
        </w:tc>
        <w:tc>
          <w:tcPr>
            <w:tcW w:w="415" w:type="dxa"/>
            <w:tcBorders>
              <w:tl2br w:val="nil"/>
              <w:tr2bl w:val="nil"/>
            </w:tcBorders>
            <w:shd w:val="clear" w:color="auto" w:fill="auto"/>
            <w:noWrap/>
            <w:tcMar>
              <w:top w:w="15" w:type="dxa"/>
              <w:left w:w="15" w:type="dxa"/>
              <w:right w:w="15" w:type="dxa"/>
            </w:tcMar>
            <w:vAlign w:val="center"/>
          </w:tcPr>
          <w:p w14:paraId="4A6F5433">
            <w:pPr>
              <w:widowControl/>
              <w:jc w:val="center"/>
              <w:rPr>
                <w:rFonts w:ascii="宋体" w:hAnsi="宋体" w:cs="宋体"/>
                <w:color w:val="000000"/>
                <w:szCs w:val="21"/>
              </w:rPr>
            </w:pPr>
            <w:r>
              <w:rPr>
                <w:rFonts w:hint="eastAsia" w:ascii="宋体" w:hAnsi="宋体" w:cs="宋体"/>
                <w:snapToGrid w:val="0"/>
                <w:color w:val="000000"/>
                <w:kern w:val="0"/>
                <w:szCs w:val="21"/>
                <w:lang w:bidi="ar"/>
              </w:rPr>
              <w:t>1</w:t>
            </w:r>
          </w:p>
        </w:tc>
        <w:tc>
          <w:tcPr>
            <w:tcW w:w="1387" w:type="dxa"/>
            <w:tcBorders>
              <w:tl2br w:val="nil"/>
              <w:tr2bl w:val="nil"/>
            </w:tcBorders>
            <w:shd w:val="clear" w:color="auto" w:fill="auto"/>
            <w:noWrap/>
            <w:tcMar>
              <w:top w:w="15" w:type="dxa"/>
              <w:left w:w="15" w:type="dxa"/>
              <w:right w:w="15" w:type="dxa"/>
            </w:tcMar>
            <w:vAlign w:val="center"/>
          </w:tcPr>
          <w:p w14:paraId="403FA360">
            <w:pPr>
              <w:jc w:val="center"/>
              <w:rPr>
                <w:rFonts w:ascii="宋体" w:hAnsi="宋体" w:cs="宋体"/>
                <w:snapToGrid w:val="0"/>
                <w:color w:val="000000"/>
                <w:kern w:val="0"/>
                <w:szCs w:val="21"/>
                <w:lang w:bidi="ar"/>
              </w:rPr>
            </w:pPr>
          </w:p>
        </w:tc>
      </w:tr>
      <w:tr w14:paraId="16B24C4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6CD92D3A">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61</w:t>
            </w:r>
          </w:p>
        </w:tc>
        <w:tc>
          <w:tcPr>
            <w:tcW w:w="1361" w:type="dxa"/>
            <w:tcBorders>
              <w:tl2br w:val="nil"/>
              <w:tr2bl w:val="nil"/>
            </w:tcBorders>
            <w:shd w:val="clear" w:color="auto" w:fill="auto"/>
            <w:noWrap/>
            <w:tcMar>
              <w:top w:w="15" w:type="dxa"/>
              <w:left w:w="15" w:type="dxa"/>
              <w:right w:w="15" w:type="dxa"/>
            </w:tcMar>
            <w:vAlign w:val="center"/>
          </w:tcPr>
          <w:p w14:paraId="1B1CE8FC">
            <w:pPr>
              <w:jc w:val="center"/>
              <w:rPr>
                <w:rFonts w:ascii="宋体" w:hAnsi="宋体" w:cs="宋体"/>
                <w:snapToGrid w:val="0"/>
                <w:color w:val="000000"/>
                <w:kern w:val="0"/>
                <w:szCs w:val="21"/>
                <w:lang w:bidi="ar"/>
              </w:rPr>
            </w:pPr>
            <w:r>
              <w:rPr>
                <w:rFonts w:hint="eastAsia" w:ascii="宋体" w:hAnsi="宋体" w:cs="宋体"/>
                <w:color w:val="000000"/>
                <w:szCs w:val="21"/>
              </w:rPr>
              <w:t>/</w:t>
            </w:r>
          </w:p>
        </w:tc>
        <w:tc>
          <w:tcPr>
            <w:tcW w:w="2687" w:type="dxa"/>
            <w:tcBorders>
              <w:tl2br w:val="nil"/>
              <w:tr2bl w:val="nil"/>
            </w:tcBorders>
            <w:noWrap/>
            <w:tcMar>
              <w:top w:w="15" w:type="dxa"/>
              <w:left w:w="15" w:type="dxa"/>
              <w:right w:w="15" w:type="dxa"/>
            </w:tcMar>
            <w:vAlign w:val="center"/>
          </w:tcPr>
          <w:p w14:paraId="63AFFAA1">
            <w:pPr>
              <w:jc w:val="center"/>
              <w:rPr>
                <w:rFonts w:ascii="宋体" w:hAnsi="宋体" w:cs="宋体"/>
                <w:color w:val="000000"/>
                <w:szCs w:val="21"/>
              </w:rPr>
            </w:pPr>
            <w:r>
              <w:rPr>
                <w:rFonts w:hint="eastAsia" w:ascii="宋体" w:hAnsi="宋体" w:cs="宋体"/>
                <w:snapToGrid w:val="0"/>
                <w:szCs w:val="21"/>
                <w:lang w:eastAsia="zh-CN"/>
              </w:rPr>
              <w:t>发动机升级改造</w:t>
            </w:r>
          </w:p>
        </w:tc>
        <w:tc>
          <w:tcPr>
            <w:tcW w:w="415" w:type="dxa"/>
            <w:tcBorders>
              <w:tl2br w:val="nil"/>
              <w:tr2bl w:val="nil"/>
            </w:tcBorders>
            <w:shd w:val="clear" w:color="auto" w:fill="auto"/>
            <w:noWrap/>
            <w:tcMar>
              <w:top w:w="15" w:type="dxa"/>
              <w:left w:w="15" w:type="dxa"/>
              <w:right w:w="15" w:type="dxa"/>
            </w:tcMar>
            <w:vAlign w:val="center"/>
          </w:tcPr>
          <w:p w14:paraId="5626E454">
            <w:pPr>
              <w:jc w:val="center"/>
              <w:rPr>
                <w:rFonts w:ascii="宋体" w:hAnsi="宋体" w:cs="宋体"/>
                <w:snapToGrid w:val="0"/>
                <w:color w:val="000000"/>
                <w:kern w:val="0"/>
                <w:szCs w:val="21"/>
                <w:lang w:eastAsia="en-US"/>
              </w:rPr>
            </w:pPr>
            <w:r>
              <w:rPr>
                <w:rFonts w:hint="eastAsia" w:ascii="宋体" w:hAnsi="宋体" w:cs="宋体"/>
                <w:color w:val="000000"/>
                <w:szCs w:val="21"/>
              </w:rPr>
              <w:t>1</w:t>
            </w:r>
          </w:p>
        </w:tc>
        <w:tc>
          <w:tcPr>
            <w:tcW w:w="1387" w:type="dxa"/>
            <w:tcBorders>
              <w:tl2br w:val="nil"/>
              <w:tr2bl w:val="nil"/>
            </w:tcBorders>
            <w:shd w:val="clear" w:color="auto" w:fill="auto"/>
            <w:noWrap/>
            <w:tcMar>
              <w:top w:w="15" w:type="dxa"/>
              <w:left w:w="15" w:type="dxa"/>
              <w:right w:w="15" w:type="dxa"/>
            </w:tcMar>
            <w:vAlign w:val="center"/>
          </w:tcPr>
          <w:p w14:paraId="06D6F593">
            <w:pPr>
              <w:widowControl/>
              <w:jc w:val="center"/>
              <w:rPr>
                <w:rFonts w:ascii="宋体" w:hAnsi="宋体" w:cs="宋体"/>
                <w:snapToGrid w:val="0"/>
                <w:color w:val="000000"/>
                <w:kern w:val="0"/>
                <w:szCs w:val="21"/>
                <w:lang w:eastAsia="en-US"/>
              </w:rPr>
            </w:pPr>
          </w:p>
        </w:tc>
      </w:tr>
      <w:tr w14:paraId="1E4F665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57024719">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62</w:t>
            </w:r>
          </w:p>
        </w:tc>
        <w:tc>
          <w:tcPr>
            <w:tcW w:w="1361" w:type="dxa"/>
            <w:tcBorders>
              <w:tl2br w:val="nil"/>
              <w:tr2bl w:val="nil"/>
            </w:tcBorders>
            <w:shd w:val="clear" w:color="auto" w:fill="auto"/>
            <w:noWrap/>
            <w:tcMar>
              <w:top w:w="15" w:type="dxa"/>
              <w:left w:w="15" w:type="dxa"/>
              <w:right w:w="15" w:type="dxa"/>
            </w:tcMar>
            <w:vAlign w:val="center"/>
          </w:tcPr>
          <w:p w14:paraId="1C1F2541">
            <w:pPr>
              <w:jc w:val="center"/>
              <w:rPr>
                <w:rFonts w:ascii="宋体" w:hAnsi="宋体" w:cs="宋体"/>
                <w:snapToGrid w:val="0"/>
                <w:color w:val="000000"/>
                <w:kern w:val="0"/>
                <w:szCs w:val="21"/>
                <w:lang w:bidi="ar"/>
              </w:rPr>
            </w:pPr>
            <w:r>
              <w:rPr>
                <w:rFonts w:hint="eastAsia" w:ascii="宋体" w:hAnsi="宋体" w:cs="宋体"/>
                <w:color w:val="000000"/>
                <w:szCs w:val="21"/>
              </w:rPr>
              <w:t>/</w:t>
            </w:r>
          </w:p>
        </w:tc>
        <w:tc>
          <w:tcPr>
            <w:tcW w:w="2687" w:type="dxa"/>
            <w:tcBorders>
              <w:tl2br w:val="nil"/>
              <w:tr2bl w:val="nil"/>
            </w:tcBorders>
            <w:shd w:val="clear" w:color="auto" w:fill="auto"/>
            <w:noWrap/>
            <w:tcMar>
              <w:top w:w="15" w:type="dxa"/>
              <w:left w:w="15" w:type="dxa"/>
              <w:right w:w="15" w:type="dxa"/>
            </w:tcMar>
            <w:vAlign w:val="center"/>
          </w:tcPr>
          <w:p w14:paraId="4F29485B">
            <w:pPr>
              <w:jc w:val="center"/>
              <w:rPr>
                <w:rFonts w:ascii="宋体" w:hAnsi="宋体" w:cs="宋体"/>
                <w:snapToGrid w:val="0"/>
                <w:kern w:val="0"/>
                <w:szCs w:val="21"/>
              </w:rPr>
            </w:pPr>
            <w:r>
              <w:rPr>
                <w:rFonts w:hint="eastAsia" w:ascii="宋体" w:hAnsi="宋体" w:cs="宋体"/>
                <w:snapToGrid w:val="0"/>
                <w:szCs w:val="21"/>
              </w:rPr>
              <w:t>发动机相关附件改造（含材料）</w:t>
            </w:r>
          </w:p>
        </w:tc>
        <w:tc>
          <w:tcPr>
            <w:tcW w:w="415" w:type="dxa"/>
            <w:tcBorders>
              <w:tl2br w:val="nil"/>
              <w:tr2bl w:val="nil"/>
            </w:tcBorders>
            <w:shd w:val="clear" w:color="auto" w:fill="auto"/>
            <w:noWrap/>
            <w:tcMar>
              <w:top w:w="15" w:type="dxa"/>
              <w:left w:w="15" w:type="dxa"/>
              <w:right w:w="15" w:type="dxa"/>
            </w:tcMar>
            <w:vAlign w:val="center"/>
          </w:tcPr>
          <w:p w14:paraId="3606FBA6">
            <w:pPr>
              <w:jc w:val="center"/>
              <w:rPr>
                <w:rFonts w:ascii="宋体" w:hAnsi="宋体" w:cs="宋体"/>
                <w:snapToGrid w:val="0"/>
                <w:color w:val="000000"/>
                <w:kern w:val="0"/>
                <w:szCs w:val="21"/>
                <w:lang w:eastAsia="en-US"/>
              </w:rPr>
            </w:pPr>
            <w:r>
              <w:rPr>
                <w:rFonts w:hint="eastAsia" w:ascii="宋体" w:hAnsi="宋体" w:cs="宋体"/>
                <w:color w:val="000000"/>
                <w:szCs w:val="21"/>
              </w:rPr>
              <w:t>1</w:t>
            </w:r>
          </w:p>
        </w:tc>
        <w:tc>
          <w:tcPr>
            <w:tcW w:w="1387" w:type="dxa"/>
            <w:tcBorders>
              <w:tl2br w:val="nil"/>
              <w:tr2bl w:val="nil"/>
            </w:tcBorders>
            <w:shd w:val="clear" w:color="auto" w:fill="auto"/>
            <w:noWrap/>
            <w:tcMar>
              <w:top w:w="15" w:type="dxa"/>
              <w:left w:w="15" w:type="dxa"/>
              <w:right w:w="15" w:type="dxa"/>
            </w:tcMar>
            <w:vAlign w:val="center"/>
          </w:tcPr>
          <w:p w14:paraId="5689912E">
            <w:pPr>
              <w:widowControl/>
              <w:jc w:val="center"/>
              <w:rPr>
                <w:rFonts w:ascii="宋体" w:hAnsi="宋体" w:cs="宋体"/>
                <w:snapToGrid w:val="0"/>
                <w:color w:val="000000"/>
                <w:kern w:val="0"/>
                <w:szCs w:val="21"/>
                <w:lang w:bidi="ar"/>
              </w:rPr>
            </w:pPr>
          </w:p>
        </w:tc>
      </w:tr>
      <w:tr w14:paraId="3C99912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3DF3A780">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63</w:t>
            </w:r>
          </w:p>
        </w:tc>
        <w:tc>
          <w:tcPr>
            <w:tcW w:w="1361" w:type="dxa"/>
            <w:tcBorders>
              <w:tl2br w:val="nil"/>
              <w:tr2bl w:val="nil"/>
            </w:tcBorders>
            <w:shd w:val="clear" w:color="auto" w:fill="auto"/>
            <w:noWrap/>
            <w:tcMar>
              <w:top w:w="15" w:type="dxa"/>
              <w:left w:w="15" w:type="dxa"/>
              <w:right w:w="15" w:type="dxa"/>
            </w:tcMar>
            <w:vAlign w:val="center"/>
          </w:tcPr>
          <w:p w14:paraId="02A98B94">
            <w:pPr>
              <w:jc w:val="center"/>
              <w:rPr>
                <w:rFonts w:ascii="宋体" w:hAnsi="宋体" w:cs="宋体"/>
                <w:snapToGrid w:val="0"/>
                <w:color w:val="000000"/>
                <w:kern w:val="0"/>
                <w:szCs w:val="21"/>
                <w:lang w:bidi="ar"/>
              </w:rPr>
            </w:pPr>
            <w:r>
              <w:rPr>
                <w:rFonts w:hint="eastAsia" w:ascii="宋体" w:hAnsi="宋体" w:cs="宋体"/>
                <w:color w:val="000000"/>
                <w:szCs w:val="21"/>
              </w:rPr>
              <w:t>/</w:t>
            </w:r>
          </w:p>
        </w:tc>
        <w:tc>
          <w:tcPr>
            <w:tcW w:w="2687" w:type="dxa"/>
            <w:tcBorders>
              <w:tl2br w:val="nil"/>
              <w:tr2bl w:val="nil"/>
            </w:tcBorders>
            <w:shd w:val="clear" w:color="auto" w:fill="auto"/>
            <w:noWrap/>
            <w:tcMar>
              <w:top w:w="15" w:type="dxa"/>
              <w:left w:w="15" w:type="dxa"/>
              <w:right w:w="15" w:type="dxa"/>
            </w:tcMar>
            <w:vAlign w:val="center"/>
          </w:tcPr>
          <w:p w14:paraId="3EE58203">
            <w:pPr>
              <w:jc w:val="center"/>
              <w:rPr>
                <w:rFonts w:ascii="宋体" w:hAnsi="宋体" w:cs="宋体"/>
                <w:snapToGrid w:val="0"/>
                <w:kern w:val="0"/>
                <w:szCs w:val="21"/>
              </w:rPr>
            </w:pPr>
            <w:r>
              <w:rPr>
                <w:rFonts w:hint="eastAsia" w:ascii="宋体" w:hAnsi="宋体" w:cs="宋体"/>
                <w:szCs w:val="21"/>
              </w:rPr>
              <w:t>尿素罐固定装置的设置改造</w:t>
            </w:r>
          </w:p>
        </w:tc>
        <w:tc>
          <w:tcPr>
            <w:tcW w:w="415" w:type="dxa"/>
            <w:tcBorders>
              <w:tl2br w:val="nil"/>
              <w:tr2bl w:val="nil"/>
            </w:tcBorders>
            <w:shd w:val="clear" w:color="auto" w:fill="auto"/>
            <w:noWrap/>
            <w:tcMar>
              <w:top w:w="15" w:type="dxa"/>
              <w:left w:w="15" w:type="dxa"/>
              <w:right w:w="15" w:type="dxa"/>
            </w:tcMar>
            <w:vAlign w:val="center"/>
          </w:tcPr>
          <w:p w14:paraId="62A7B7AE">
            <w:pPr>
              <w:jc w:val="center"/>
              <w:rPr>
                <w:rFonts w:ascii="宋体" w:hAnsi="宋体" w:cs="宋体"/>
                <w:snapToGrid w:val="0"/>
                <w:color w:val="000000"/>
                <w:kern w:val="0"/>
                <w:szCs w:val="21"/>
                <w:lang w:eastAsia="en-US"/>
              </w:rPr>
            </w:pPr>
            <w:r>
              <w:rPr>
                <w:rFonts w:hint="eastAsia" w:ascii="宋体" w:hAnsi="宋体" w:cs="宋体"/>
                <w:color w:val="000000"/>
                <w:szCs w:val="21"/>
              </w:rPr>
              <w:t>1</w:t>
            </w:r>
          </w:p>
        </w:tc>
        <w:tc>
          <w:tcPr>
            <w:tcW w:w="1387" w:type="dxa"/>
            <w:tcBorders>
              <w:tl2br w:val="nil"/>
              <w:tr2bl w:val="nil"/>
            </w:tcBorders>
            <w:shd w:val="clear" w:color="auto" w:fill="auto"/>
            <w:noWrap/>
            <w:tcMar>
              <w:top w:w="15" w:type="dxa"/>
              <w:left w:w="15" w:type="dxa"/>
              <w:right w:w="15" w:type="dxa"/>
            </w:tcMar>
            <w:vAlign w:val="center"/>
          </w:tcPr>
          <w:p w14:paraId="4A290FC0">
            <w:pPr>
              <w:widowControl/>
              <w:jc w:val="center"/>
              <w:rPr>
                <w:rFonts w:ascii="宋体" w:hAnsi="宋体" w:cs="宋体"/>
                <w:snapToGrid w:val="0"/>
                <w:color w:val="000000"/>
                <w:kern w:val="0"/>
                <w:szCs w:val="21"/>
                <w:lang w:bidi="ar"/>
              </w:rPr>
            </w:pPr>
          </w:p>
        </w:tc>
      </w:tr>
      <w:tr w14:paraId="65EC726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6BE3C7F2">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64</w:t>
            </w:r>
          </w:p>
        </w:tc>
        <w:tc>
          <w:tcPr>
            <w:tcW w:w="1361" w:type="dxa"/>
            <w:tcBorders>
              <w:tl2br w:val="nil"/>
              <w:tr2bl w:val="nil"/>
            </w:tcBorders>
            <w:shd w:val="clear" w:color="auto" w:fill="auto"/>
            <w:noWrap/>
            <w:tcMar>
              <w:top w:w="15" w:type="dxa"/>
              <w:left w:w="15" w:type="dxa"/>
              <w:right w:w="15" w:type="dxa"/>
            </w:tcMar>
            <w:vAlign w:val="center"/>
          </w:tcPr>
          <w:p w14:paraId="754C8572">
            <w:pPr>
              <w:jc w:val="center"/>
              <w:rPr>
                <w:rFonts w:ascii="宋体" w:hAnsi="宋体" w:cs="宋体"/>
                <w:snapToGrid w:val="0"/>
                <w:color w:val="000000"/>
                <w:kern w:val="0"/>
                <w:szCs w:val="21"/>
                <w:lang w:bidi="ar"/>
              </w:rPr>
            </w:pPr>
            <w:r>
              <w:rPr>
                <w:rFonts w:hint="eastAsia" w:ascii="宋体" w:hAnsi="宋体" w:cs="宋体"/>
                <w:color w:val="000000"/>
                <w:szCs w:val="21"/>
              </w:rPr>
              <w:t>/</w:t>
            </w:r>
          </w:p>
        </w:tc>
        <w:tc>
          <w:tcPr>
            <w:tcW w:w="2687" w:type="dxa"/>
            <w:tcBorders>
              <w:tl2br w:val="nil"/>
              <w:tr2bl w:val="nil"/>
            </w:tcBorders>
            <w:shd w:val="clear" w:color="auto" w:fill="auto"/>
            <w:noWrap/>
            <w:tcMar>
              <w:top w:w="15" w:type="dxa"/>
              <w:left w:w="15" w:type="dxa"/>
              <w:right w:w="15" w:type="dxa"/>
            </w:tcMar>
            <w:vAlign w:val="center"/>
          </w:tcPr>
          <w:p w14:paraId="1E83A957">
            <w:pPr>
              <w:jc w:val="center"/>
              <w:rPr>
                <w:rFonts w:ascii="宋体" w:hAnsi="宋体" w:cs="宋体"/>
                <w:snapToGrid w:val="0"/>
                <w:kern w:val="0"/>
                <w:szCs w:val="21"/>
              </w:rPr>
            </w:pPr>
            <w:r>
              <w:rPr>
                <w:rFonts w:hint="eastAsia" w:ascii="宋体" w:hAnsi="宋体" w:cs="宋体"/>
                <w:szCs w:val="21"/>
              </w:rPr>
              <w:t>控制系统的改造</w:t>
            </w:r>
          </w:p>
        </w:tc>
        <w:tc>
          <w:tcPr>
            <w:tcW w:w="415" w:type="dxa"/>
            <w:tcBorders>
              <w:tl2br w:val="nil"/>
              <w:tr2bl w:val="nil"/>
            </w:tcBorders>
            <w:shd w:val="clear" w:color="auto" w:fill="auto"/>
            <w:noWrap/>
            <w:tcMar>
              <w:top w:w="15" w:type="dxa"/>
              <w:left w:w="15" w:type="dxa"/>
              <w:right w:w="15" w:type="dxa"/>
            </w:tcMar>
            <w:vAlign w:val="center"/>
          </w:tcPr>
          <w:p w14:paraId="0B4BF691">
            <w:pPr>
              <w:jc w:val="center"/>
              <w:rPr>
                <w:rFonts w:ascii="宋体" w:hAnsi="宋体" w:cs="宋体"/>
                <w:snapToGrid w:val="0"/>
                <w:color w:val="000000"/>
                <w:kern w:val="0"/>
                <w:szCs w:val="21"/>
                <w:lang w:eastAsia="en-US"/>
              </w:rPr>
            </w:pPr>
            <w:r>
              <w:rPr>
                <w:rFonts w:hint="eastAsia" w:ascii="宋体" w:hAnsi="宋体" w:cs="宋体"/>
                <w:color w:val="000000"/>
                <w:szCs w:val="21"/>
              </w:rPr>
              <w:t>1</w:t>
            </w:r>
          </w:p>
        </w:tc>
        <w:tc>
          <w:tcPr>
            <w:tcW w:w="1387" w:type="dxa"/>
            <w:tcBorders>
              <w:tl2br w:val="nil"/>
              <w:tr2bl w:val="nil"/>
            </w:tcBorders>
            <w:shd w:val="clear" w:color="auto" w:fill="auto"/>
            <w:noWrap/>
            <w:tcMar>
              <w:top w:w="15" w:type="dxa"/>
              <w:left w:w="15" w:type="dxa"/>
              <w:right w:w="15" w:type="dxa"/>
            </w:tcMar>
            <w:vAlign w:val="center"/>
          </w:tcPr>
          <w:p w14:paraId="077FFC49">
            <w:pPr>
              <w:widowControl/>
              <w:jc w:val="center"/>
              <w:rPr>
                <w:rFonts w:ascii="宋体" w:hAnsi="宋体" w:cs="宋体"/>
                <w:snapToGrid w:val="0"/>
                <w:color w:val="000000"/>
                <w:kern w:val="0"/>
                <w:szCs w:val="21"/>
                <w:lang w:bidi="ar"/>
              </w:rPr>
            </w:pPr>
          </w:p>
        </w:tc>
      </w:tr>
      <w:tr w14:paraId="26D5EDE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6AC660A3">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65</w:t>
            </w:r>
          </w:p>
        </w:tc>
        <w:tc>
          <w:tcPr>
            <w:tcW w:w="1361" w:type="dxa"/>
            <w:tcBorders>
              <w:tl2br w:val="nil"/>
              <w:tr2bl w:val="nil"/>
            </w:tcBorders>
            <w:shd w:val="clear" w:color="auto" w:fill="auto"/>
            <w:noWrap/>
            <w:tcMar>
              <w:top w:w="15" w:type="dxa"/>
              <w:left w:w="15" w:type="dxa"/>
              <w:right w:w="15" w:type="dxa"/>
            </w:tcMar>
            <w:vAlign w:val="center"/>
          </w:tcPr>
          <w:p w14:paraId="05D3EBFE">
            <w:pPr>
              <w:jc w:val="center"/>
              <w:rPr>
                <w:rFonts w:ascii="宋体" w:hAnsi="宋体" w:cs="宋体"/>
                <w:snapToGrid w:val="0"/>
                <w:color w:val="000000"/>
                <w:kern w:val="0"/>
                <w:szCs w:val="21"/>
                <w:lang w:bidi="ar"/>
              </w:rPr>
            </w:pPr>
            <w:r>
              <w:rPr>
                <w:rFonts w:hint="eastAsia" w:ascii="宋体" w:hAnsi="宋体" w:cs="宋体"/>
                <w:color w:val="000000"/>
                <w:szCs w:val="21"/>
              </w:rPr>
              <w:t>/</w:t>
            </w:r>
          </w:p>
        </w:tc>
        <w:tc>
          <w:tcPr>
            <w:tcW w:w="2687" w:type="dxa"/>
            <w:tcBorders>
              <w:tl2br w:val="nil"/>
              <w:tr2bl w:val="nil"/>
            </w:tcBorders>
            <w:shd w:val="clear" w:color="auto" w:fill="auto"/>
            <w:noWrap/>
            <w:tcMar>
              <w:top w:w="15" w:type="dxa"/>
              <w:left w:w="15" w:type="dxa"/>
              <w:right w:w="15" w:type="dxa"/>
            </w:tcMar>
            <w:vAlign w:val="center"/>
          </w:tcPr>
          <w:p w14:paraId="4717CFE6">
            <w:pPr>
              <w:jc w:val="center"/>
              <w:rPr>
                <w:rFonts w:ascii="宋体" w:hAnsi="宋体" w:cs="宋体"/>
                <w:snapToGrid w:val="0"/>
                <w:kern w:val="0"/>
                <w:szCs w:val="21"/>
              </w:rPr>
            </w:pPr>
            <w:r>
              <w:rPr>
                <w:rFonts w:hint="eastAsia"/>
              </w:rPr>
              <w:t>项目维修改造完成后中标人须</w:t>
            </w:r>
            <w:r>
              <w:rPr>
                <w:rFonts w:hint="eastAsia" w:ascii="宋体" w:hAnsi="宋体" w:cs="宋体"/>
                <w:szCs w:val="21"/>
              </w:rPr>
              <w:t>随车提供发动机保养耗材（包括材滤、机滤、空滤等所有材料）</w:t>
            </w:r>
          </w:p>
        </w:tc>
        <w:tc>
          <w:tcPr>
            <w:tcW w:w="415" w:type="dxa"/>
            <w:tcBorders>
              <w:tl2br w:val="nil"/>
              <w:tr2bl w:val="nil"/>
            </w:tcBorders>
            <w:shd w:val="clear" w:color="auto" w:fill="auto"/>
            <w:noWrap/>
            <w:tcMar>
              <w:top w:w="15" w:type="dxa"/>
              <w:left w:w="15" w:type="dxa"/>
              <w:right w:w="15" w:type="dxa"/>
            </w:tcMar>
            <w:vAlign w:val="center"/>
          </w:tcPr>
          <w:p w14:paraId="4DD88234">
            <w:pPr>
              <w:jc w:val="center"/>
              <w:rPr>
                <w:rFonts w:ascii="宋体" w:hAnsi="宋体" w:cs="宋体"/>
                <w:snapToGrid w:val="0"/>
                <w:color w:val="000000"/>
                <w:kern w:val="0"/>
                <w:szCs w:val="21"/>
                <w:lang w:eastAsia="en-US"/>
              </w:rPr>
            </w:pPr>
            <w:r>
              <w:rPr>
                <w:rFonts w:hint="eastAsia" w:ascii="宋体" w:hAnsi="宋体" w:cs="宋体"/>
                <w:color w:val="000000"/>
                <w:szCs w:val="21"/>
              </w:rPr>
              <w:t>3</w:t>
            </w:r>
          </w:p>
        </w:tc>
        <w:tc>
          <w:tcPr>
            <w:tcW w:w="1387" w:type="dxa"/>
            <w:tcBorders>
              <w:tl2br w:val="nil"/>
              <w:tr2bl w:val="nil"/>
            </w:tcBorders>
            <w:shd w:val="clear" w:color="auto" w:fill="auto"/>
            <w:noWrap/>
            <w:tcMar>
              <w:top w:w="15" w:type="dxa"/>
              <w:left w:w="15" w:type="dxa"/>
              <w:right w:w="15" w:type="dxa"/>
            </w:tcMar>
            <w:vAlign w:val="center"/>
          </w:tcPr>
          <w:p w14:paraId="1B279D57">
            <w:pPr>
              <w:widowControl/>
              <w:jc w:val="center"/>
              <w:rPr>
                <w:rFonts w:ascii="宋体" w:hAnsi="宋体" w:cs="宋体"/>
                <w:snapToGrid w:val="0"/>
                <w:color w:val="000000"/>
                <w:kern w:val="0"/>
                <w:szCs w:val="21"/>
                <w:lang w:bidi="ar"/>
              </w:rPr>
            </w:pPr>
          </w:p>
        </w:tc>
      </w:tr>
      <w:tr w14:paraId="54E1699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403" w:type="dxa"/>
            <w:tcBorders>
              <w:tl2br w:val="nil"/>
              <w:tr2bl w:val="nil"/>
            </w:tcBorders>
            <w:noWrap/>
            <w:tcMar>
              <w:top w:w="15" w:type="dxa"/>
              <w:left w:w="15" w:type="dxa"/>
              <w:right w:w="15" w:type="dxa"/>
            </w:tcMar>
            <w:vAlign w:val="center"/>
          </w:tcPr>
          <w:p w14:paraId="7BFD1049">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66</w:t>
            </w:r>
          </w:p>
        </w:tc>
        <w:tc>
          <w:tcPr>
            <w:tcW w:w="1361" w:type="dxa"/>
            <w:tcBorders>
              <w:tl2br w:val="nil"/>
              <w:tr2bl w:val="nil"/>
            </w:tcBorders>
            <w:shd w:val="clear" w:color="auto" w:fill="auto"/>
            <w:noWrap/>
            <w:tcMar>
              <w:top w:w="15" w:type="dxa"/>
              <w:left w:w="15" w:type="dxa"/>
              <w:right w:w="15" w:type="dxa"/>
            </w:tcMar>
            <w:vAlign w:val="center"/>
          </w:tcPr>
          <w:p w14:paraId="6B34431D">
            <w:pPr>
              <w:jc w:val="center"/>
              <w:rPr>
                <w:rFonts w:ascii="宋体" w:hAnsi="宋体" w:cs="宋体"/>
                <w:snapToGrid w:val="0"/>
                <w:color w:val="000000"/>
                <w:kern w:val="0"/>
                <w:szCs w:val="21"/>
                <w:lang w:bidi="ar"/>
              </w:rPr>
            </w:pPr>
            <w:r>
              <w:rPr>
                <w:rFonts w:hint="eastAsia" w:ascii="宋体" w:hAnsi="宋体" w:cs="宋体"/>
                <w:szCs w:val="21"/>
              </w:rPr>
              <w:t>/</w:t>
            </w:r>
          </w:p>
        </w:tc>
        <w:tc>
          <w:tcPr>
            <w:tcW w:w="2687" w:type="dxa"/>
            <w:tcBorders>
              <w:tl2br w:val="nil"/>
              <w:tr2bl w:val="nil"/>
            </w:tcBorders>
            <w:shd w:val="clear" w:color="auto" w:fill="auto"/>
            <w:noWrap/>
            <w:tcMar>
              <w:top w:w="15" w:type="dxa"/>
              <w:left w:w="15" w:type="dxa"/>
              <w:right w:w="15" w:type="dxa"/>
            </w:tcMar>
            <w:vAlign w:val="center"/>
          </w:tcPr>
          <w:p w14:paraId="619AFB01">
            <w:pPr>
              <w:jc w:val="center"/>
              <w:rPr>
                <w:rFonts w:ascii="宋体" w:hAnsi="宋体" w:cs="宋体"/>
                <w:snapToGrid w:val="0"/>
                <w:kern w:val="0"/>
                <w:szCs w:val="21"/>
              </w:rPr>
            </w:pPr>
            <w:r>
              <w:rPr>
                <w:rFonts w:hint="eastAsia" w:ascii="宋体" w:hAnsi="宋体" w:cs="宋体"/>
                <w:szCs w:val="21"/>
              </w:rPr>
              <w:t>整车要求配备车辆智能消防系统。机舱发生自燃时，有声、光报警，机器能自动停止运转自动/手动启动灭火功能。消防系统可手动、自动可自由切换，报警温度为 180 摄氏度，主电源切断后仍可以实现自动或手动灭火；灭火介质稳定可靠，适应-50—60 摄氏度常压储存，具有冷却、无腐蚀、防止复燃性能，系统寿命 5 年以上。</w:t>
            </w:r>
          </w:p>
        </w:tc>
        <w:tc>
          <w:tcPr>
            <w:tcW w:w="415" w:type="dxa"/>
            <w:tcBorders>
              <w:tl2br w:val="nil"/>
              <w:tr2bl w:val="nil"/>
            </w:tcBorders>
            <w:shd w:val="clear" w:color="auto" w:fill="auto"/>
            <w:noWrap/>
            <w:tcMar>
              <w:top w:w="15" w:type="dxa"/>
              <w:left w:w="15" w:type="dxa"/>
              <w:right w:w="15" w:type="dxa"/>
            </w:tcMar>
            <w:vAlign w:val="center"/>
          </w:tcPr>
          <w:p w14:paraId="2BFB0EBA">
            <w:pPr>
              <w:jc w:val="center"/>
              <w:rPr>
                <w:rFonts w:ascii="宋体" w:hAnsi="宋体" w:cs="宋体"/>
                <w:snapToGrid w:val="0"/>
                <w:color w:val="000000"/>
                <w:kern w:val="0"/>
                <w:szCs w:val="21"/>
                <w:lang w:eastAsia="en-US"/>
              </w:rPr>
            </w:pPr>
            <w:r>
              <w:rPr>
                <w:rFonts w:hint="eastAsia" w:ascii="宋体" w:hAnsi="宋体" w:cs="宋体"/>
                <w:color w:val="000000"/>
                <w:szCs w:val="21"/>
              </w:rPr>
              <w:t>1</w:t>
            </w:r>
          </w:p>
        </w:tc>
        <w:tc>
          <w:tcPr>
            <w:tcW w:w="1387" w:type="dxa"/>
            <w:tcBorders>
              <w:tl2br w:val="nil"/>
              <w:tr2bl w:val="nil"/>
            </w:tcBorders>
            <w:shd w:val="clear" w:color="auto" w:fill="auto"/>
            <w:noWrap/>
            <w:tcMar>
              <w:top w:w="15" w:type="dxa"/>
              <w:left w:w="15" w:type="dxa"/>
              <w:right w:w="15" w:type="dxa"/>
            </w:tcMar>
            <w:vAlign w:val="center"/>
          </w:tcPr>
          <w:p w14:paraId="4195DD13">
            <w:pPr>
              <w:widowControl/>
              <w:jc w:val="center"/>
              <w:rPr>
                <w:rFonts w:ascii="宋体" w:hAnsi="宋体" w:cs="宋体"/>
                <w:snapToGrid w:val="0"/>
                <w:color w:val="000000"/>
                <w:kern w:val="0"/>
                <w:szCs w:val="21"/>
                <w:lang w:bidi="ar"/>
              </w:rPr>
            </w:pPr>
          </w:p>
        </w:tc>
      </w:tr>
    </w:tbl>
    <w:p w14:paraId="500E6BC5">
      <w:pPr>
        <w:tabs>
          <w:tab w:val="left" w:pos="482"/>
          <w:tab w:val="left" w:pos="2183"/>
          <w:tab w:val="left" w:pos="3884"/>
          <w:tab w:val="left" w:pos="5585"/>
        </w:tabs>
        <w:autoSpaceDE w:val="0"/>
        <w:autoSpaceDN w:val="0"/>
        <w:jc w:val="center"/>
        <w:outlineLvl w:val="2"/>
        <w:rPr>
          <w:rFonts w:cs="宋体"/>
          <w:b/>
          <w:bCs/>
          <w:sz w:val="28"/>
          <w:szCs w:val="28"/>
        </w:rPr>
      </w:pPr>
      <w:r>
        <w:rPr>
          <w:rFonts w:hint="eastAsia" w:ascii="宋体" w:hAnsi="宋体" w:cs="新宋体"/>
          <w:sz w:val="22"/>
          <w:szCs w:val="22"/>
        </w:rPr>
        <w:br w:type="page"/>
      </w:r>
      <w:r>
        <w:rPr>
          <w:rFonts w:hint="eastAsia" w:cs="宋体"/>
          <w:b/>
          <w:bCs/>
          <w:sz w:val="28"/>
          <w:szCs w:val="28"/>
        </w:rPr>
        <w:t>其他投标人认为需要提供的证明材料及内容</w:t>
      </w:r>
    </w:p>
    <w:p w14:paraId="77D80819">
      <w:pPr>
        <w:spacing w:before="156" w:beforeLines="50" w:after="156" w:afterLines="50"/>
        <w:rPr>
          <w:rFonts w:ascii="宋体" w:hAnsi="宋体"/>
          <w:color w:val="000000"/>
          <w:sz w:val="28"/>
          <w:szCs w:val="28"/>
        </w:rPr>
      </w:pPr>
    </w:p>
    <w:p w14:paraId="0A29341C">
      <w:pPr>
        <w:widowControl/>
        <w:jc w:val="center"/>
        <w:rPr>
          <w:rFonts w:ascii="宋体" w:hAnsi="宋体"/>
          <w:b/>
          <w:sz w:val="28"/>
          <w:szCs w:val="28"/>
        </w:rPr>
      </w:pPr>
    </w:p>
    <w:p w14:paraId="099CA7C9">
      <w:pPr>
        <w:spacing w:before="156" w:beforeLines="50" w:after="156" w:afterLines="50"/>
        <w:jc w:val="center"/>
        <w:rPr>
          <w:rFonts w:ascii="宋体" w:hAnsi="宋体"/>
          <w:kern w:val="44"/>
          <w:sz w:val="22"/>
          <w:szCs w:val="22"/>
        </w:rPr>
      </w:pPr>
    </w:p>
    <w:p w14:paraId="32573DEC">
      <w:pPr>
        <w:spacing w:before="156" w:beforeLines="50" w:after="156" w:afterLines="50"/>
        <w:jc w:val="center"/>
        <w:rPr>
          <w:rFonts w:ascii="宋体" w:hAnsi="宋体"/>
          <w:kern w:val="44"/>
          <w:sz w:val="22"/>
          <w:szCs w:val="22"/>
        </w:rPr>
      </w:pPr>
    </w:p>
    <w:p w14:paraId="48D62D6A">
      <w:pPr>
        <w:spacing w:before="156" w:beforeLines="50" w:after="156" w:afterLines="50"/>
        <w:jc w:val="center"/>
        <w:rPr>
          <w:rFonts w:ascii="宋体" w:hAnsi="宋体"/>
          <w:kern w:val="44"/>
          <w:sz w:val="22"/>
          <w:szCs w:val="22"/>
        </w:rPr>
      </w:pPr>
    </w:p>
    <w:p w14:paraId="4E6E6099">
      <w:pPr>
        <w:spacing w:before="156" w:beforeLines="50" w:after="156" w:afterLines="50"/>
        <w:rPr>
          <w:rFonts w:ascii="宋体" w:hAnsi="宋体" w:cs="新宋体"/>
          <w:sz w:val="22"/>
          <w:szCs w:val="22"/>
        </w:rPr>
      </w:pPr>
    </w:p>
    <w:p w14:paraId="6D7983F0">
      <w:pPr>
        <w:spacing w:before="156" w:beforeLines="50" w:after="156" w:afterLines="50"/>
        <w:rPr>
          <w:rFonts w:ascii="宋体" w:hAnsi="宋体" w:cs="新宋体"/>
          <w:sz w:val="22"/>
          <w:szCs w:val="22"/>
        </w:rPr>
      </w:pPr>
    </w:p>
    <w:p w14:paraId="4D04349F">
      <w:pPr>
        <w:spacing w:before="156" w:beforeLines="50" w:after="156" w:afterLines="50"/>
        <w:rPr>
          <w:rFonts w:ascii="宋体" w:hAnsi="宋体" w:cs="新宋体"/>
          <w:sz w:val="22"/>
          <w:szCs w:val="22"/>
        </w:rPr>
      </w:pPr>
    </w:p>
    <w:p w14:paraId="39C3530A">
      <w:pPr>
        <w:spacing w:before="156" w:beforeLines="50" w:after="156" w:afterLines="50"/>
        <w:rPr>
          <w:rFonts w:ascii="宋体" w:hAnsi="宋体" w:cs="新宋体"/>
          <w:sz w:val="22"/>
          <w:szCs w:val="22"/>
        </w:rPr>
      </w:pPr>
    </w:p>
    <w:p w14:paraId="6A09E570">
      <w:pPr>
        <w:spacing w:before="156" w:beforeLines="50" w:after="156" w:afterLines="50"/>
        <w:rPr>
          <w:rFonts w:ascii="宋体" w:hAnsi="宋体" w:cs="新宋体"/>
          <w:sz w:val="22"/>
          <w:szCs w:val="22"/>
        </w:rPr>
      </w:pPr>
    </w:p>
    <w:p w14:paraId="6CFACD26">
      <w:pPr>
        <w:spacing w:before="156" w:beforeLines="50" w:after="156" w:afterLines="50"/>
        <w:rPr>
          <w:rFonts w:ascii="宋体" w:hAnsi="宋体" w:cs="新宋体"/>
          <w:sz w:val="22"/>
          <w:szCs w:val="22"/>
        </w:rPr>
      </w:pPr>
    </w:p>
    <w:p w14:paraId="7F5FC216">
      <w:pPr>
        <w:spacing w:before="156" w:beforeLines="50" w:after="156" w:afterLines="50"/>
        <w:rPr>
          <w:rFonts w:ascii="宋体" w:hAnsi="宋体" w:cs="新宋体"/>
          <w:sz w:val="22"/>
          <w:szCs w:val="22"/>
        </w:rPr>
      </w:pPr>
    </w:p>
    <w:p w14:paraId="3F0F3CD4">
      <w:pPr>
        <w:spacing w:before="156" w:beforeLines="50" w:after="156" w:afterLines="50"/>
        <w:rPr>
          <w:rFonts w:ascii="宋体" w:hAnsi="宋体" w:cs="新宋体"/>
          <w:sz w:val="22"/>
          <w:szCs w:val="22"/>
        </w:rPr>
      </w:pPr>
    </w:p>
    <w:p w14:paraId="7A486279">
      <w:pPr>
        <w:spacing w:before="156" w:beforeLines="50" w:after="156" w:afterLines="50"/>
        <w:rPr>
          <w:rFonts w:ascii="宋体" w:hAnsi="宋体" w:cs="新宋体"/>
          <w:sz w:val="22"/>
          <w:szCs w:val="22"/>
        </w:rPr>
      </w:pPr>
    </w:p>
    <w:p w14:paraId="3CBFEE1A">
      <w:pPr>
        <w:spacing w:before="0" w:beforeLines="-2147483648" w:after="0" w:afterLines="-2147483648"/>
        <w:rPr>
          <w:rFonts w:hint="eastAsia" w:ascii="宋体" w:hAnsi="宋体" w:cs="新宋体"/>
          <w:sz w:val="22"/>
          <w:szCs w:val="22"/>
        </w:rPr>
      </w:pPr>
      <w:r>
        <w:rPr>
          <w:rFonts w:hint="eastAsia" w:ascii="宋体" w:hAnsi="宋体" w:cs="新宋体"/>
          <w:sz w:val="22"/>
          <w:szCs w:val="22"/>
        </w:rPr>
        <w:br w:type="page"/>
      </w:r>
    </w:p>
    <w:p w14:paraId="0683F65D">
      <w:pPr>
        <w:spacing w:before="156" w:beforeLines="50" w:after="156" w:afterLines="50"/>
        <w:rPr>
          <w:rFonts w:ascii="宋体" w:hAnsi="宋体" w:cs="新宋体"/>
          <w:sz w:val="22"/>
          <w:szCs w:val="22"/>
        </w:rPr>
      </w:pPr>
      <w:r>
        <w:rPr>
          <w:rFonts w:hint="eastAsia" w:ascii="宋体" w:hAnsi="宋体" w:cs="新宋体"/>
          <w:sz w:val="22"/>
          <w:szCs w:val="22"/>
        </w:rPr>
        <w:t>（价格标封面，供参考）</w:t>
      </w:r>
    </w:p>
    <w:p w14:paraId="6AD1E4F7">
      <w:pPr>
        <w:rPr>
          <w:rFonts w:ascii="宋体" w:hAnsi="宋体" w:cs="新宋体"/>
        </w:rPr>
      </w:pPr>
    </w:p>
    <w:p w14:paraId="053216E9">
      <w:pPr>
        <w:rPr>
          <w:rFonts w:ascii="宋体" w:hAnsi="宋体" w:cs="新宋体"/>
        </w:rPr>
      </w:pPr>
    </w:p>
    <w:p w14:paraId="147257A4">
      <w:pPr>
        <w:rPr>
          <w:rFonts w:ascii="宋体" w:hAnsi="宋体" w:cs="新宋体"/>
        </w:rPr>
      </w:pPr>
    </w:p>
    <w:p w14:paraId="545FB7DF">
      <w:pPr>
        <w:jc w:val="center"/>
        <w:rPr>
          <w:rFonts w:ascii="宋体" w:hAnsi="宋体" w:cs="新宋体"/>
          <w:sz w:val="28"/>
          <w:szCs w:val="28"/>
        </w:rPr>
      </w:pPr>
      <w:r>
        <w:rPr>
          <w:rFonts w:hint="eastAsia" w:ascii="宋体" w:hAnsi="宋体" w:cs="新宋体"/>
          <w:sz w:val="28"/>
          <w:szCs w:val="28"/>
          <w:u w:val="single"/>
        </w:rPr>
        <w:t>（项目名称）</w:t>
      </w:r>
      <w:r>
        <w:rPr>
          <w:rFonts w:hint="eastAsia" w:ascii="宋体" w:hAnsi="宋体" w:cs="新宋体"/>
          <w:sz w:val="28"/>
          <w:szCs w:val="28"/>
        </w:rPr>
        <w:t>投标文件</w:t>
      </w:r>
    </w:p>
    <w:p w14:paraId="5B6FB67F">
      <w:pPr>
        <w:rPr>
          <w:rFonts w:ascii="宋体" w:hAnsi="宋体" w:cs="新宋体"/>
          <w:sz w:val="28"/>
          <w:szCs w:val="28"/>
        </w:rPr>
      </w:pPr>
    </w:p>
    <w:p w14:paraId="387610F2">
      <w:pPr>
        <w:rPr>
          <w:rFonts w:ascii="宋体" w:hAnsi="宋体" w:cs="新宋体"/>
          <w:sz w:val="28"/>
          <w:szCs w:val="28"/>
        </w:rPr>
      </w:pPr>
    </w:p>
    <w:p w14:paraId="5076CBCF">
      <w:pPr>
        <w:pStyle w:val="9"/>
        <w:ind w:left="980" w:firstLine="280"/>
        <w:rPr>
          <w:rFonts w:ascii="宋体" w:hAnsi="宋体" w:cs="新宋体"/>
          <w:sz w:val="28"/>
          <w:szCs w:val="28"/>
        </w:rPr>
      </w:pPr>
    </w:p>
    <w:p w14:paraId="4EEB1B08">
      <w:pPr>
        <w:pStyle w:val="9"/>
        <w:ind w:left="980" w:firstLine="280"/>
        <w:rPr>
          <w:rFonts w:ascii="宋体" w:hAnsi="宋体" w:cs="新宋体"/>
          <w:sz w:val="28"/>
          <w:szCs w:val="28"/>
        </w:rPr>
      </w:pPr>
    </w:p>
    <w:p w14:paraId="00B0E819">
      <w:pPr>
        <w:rPr>
          <w:rFonts w:ascii="宋体" w:hAnsi="宋体" w:cs="新宋体"/>
          <w:sz w:val="28"/>
          <w:szCs w:val="28"/>
        </w:rPr>
      </w:pPr>
    </w:p>
    <w:p w14:paraId="55F361F8">
      <w:pPr>
        <w:jc w:val="center"/>
        <w:rPr>
          <w:rFonts w:ascii="宋体" w:hAnsi="宋体" w:cs="新宋体"/>
          <w:sz w:val="52"/>
          <w:szCs w:val="52"/>
        </w:rPr>
      </w:pPr>
    </w:p>
    <w:p w14:paraId="7BD3AE2C">
      <w:pPr>
        <w:spacing w:line="360" w:lineRule="auto"/>
        <w:jc w:val="center"/>
        <w:outlineLvl w:val="1"/>
        <w:rPr>
          <w:rFonts w:ascii="宋体" w:hAnsi="宋体" w:cs="新宋体"/>
          <w:szCs w:val="21"/>
        </w:rPr>
      </w:pPr>
      <w:r>
        <w:rPr>
          <w:rFonts w:hint="eastAsia" w:ascii="宋体" w:hAnsi="宋体" w:cs="新宋体"/>
          <w:sz w:val="52"/>
          <w:szCs w:val="52"/>
        </w:rPr>
        <w:t>价格标</w:t>
      </w:r>
    </w:p>
    <w:p w14:paraId="342AA1E0">
      <w:pPr>
        <w:spacing w:line="360" w:lineRule="auto"/>
        <w:rPr>
          <w:rFonts w:ascii="宋体" w:hAnsi="宋体" w:cs="新宋体"/>
          <w:szCs w:val="21"/>
        </w:rPr>
      </w:pPr>
    </w:p>
    <w:p w14:paraId="74E33E57">
      <w:pPr>
        <w:spacing w:line="360" w:lineRule="auto"/>
        <w:rPr>
          <w:rFonts w:ascii="宋体" w:hAnsi="宋体" w:cs="新宋体"/>
          <w:szCs w:val="21"/>
        </w:rPr>
      </w:pPr>
    </w:p>
    <w:p w14:paraId="0EC4968C">
      <w:pPr>
        <w:spacing w:line="360" w:lineRule="auto"/>
        <w:rPr>
          <w:rFonts w:ascii="宋体" w:hAnsi="宋体" w:cs="新宋体"/>
          <w:szCs w:val="21"/>
        </w:rPr>
      </w:pPr>
    </w:p>
    <w:p w14:paraId="2E2A4D7F">
      <w:pPr>
        <w:spacing w:line="360" w:lineRule="auto"/>
        <w:rPr>
          <w:rFonts w:ascii="宋体" w:hAnsi="宋体" w:cs="新宋体"/>
          <w:szCs w:val="21"/>
        </w:rPr>
      </w:pPr>
    </w:p>
    <w:p w14:paraId="4A4AC9C2">
      <w:pPr>
        <w:spacing w:line="360" w:lineRule="auto"/>
        <w:rPr>
          <w:rFonts w:ascii="宋体" w:hAnsi="宋体" w:cs="新宋体"/>
          <w:szCs w:val="21"/>
        </w:rPr>
      </w:pPr>
    </w:p>
    <w:p w14:paraId="08E0AF66">
      <w:pPr>
        <w:spacing w:line="360" w:lineRule="auto"/>
        <w:rPr>
          <w:rFonts w:ascii="宋体" w:hAnsi="宋体" w:cs="新宋体"/>
          <w:szCs w:val="21"/>
        </w:rPr>
      </w:pPr>
    </w:p>
    <w:p w14:paraId="16293657">
      <w:pPr>
        <w:jc w:val="center"/>
        <w:rPr>
          <w:rFonts w:ascii="宋体" w:hAnsi="宋体" w:cs="新宋体"/>
          <w:sz w:val="28"/>
          <w:szCs w:val="28"/>
        </w:rPr>
      </w:pPr>
      <w:r>
        <w:rPr>
          <w:rFonts w:hint="eastAsia" w:ascii="宋体" w:hAnsi="宋体" w:cs="新宋体"/>
          <w:sz w:val="28"/>
          <w:szCs w:val="28"/>
        </w:rPr>
        <w:t>投标人：（盖单位章）</w:t>
      </w:r>
    </w:p>
    <w:p w14:paraId="408A3E67">
      <w:pPr>
        <w:rPr>
          <w:rFonts w:ascii="宋体" w:hAnsi="宋体" w:cs="新宋体"/>
          <w:sz w:val="28"/>
          <w:szCs w:val="28"/>
          <w:u w:val="single"/>
        </w:rPr>
      </w:pPr>
    </w:p>
    <w:p w14:paraId="7E41574E">
      <w:pPr>
        <w:jc w:val="center"/>
        <w:rPr>
          <w:rFonts w:ascii="宋体" w:hAnsi="宋体" w:cs="新宋体"/>
          <w:sz w:val="28"/>
          <w:szCs w:val="28"/>
        </w:rPr>
      </w:pPr>
      <w:r>
        <w:rPr>
          <w:rFonts w:hint="eastAsia" w:ascii="宋体" w:hAnsi="宋体" w:cs="新宋体"/>
          <w:sz w:val="28"/>
          <w:szCs w:val="28"/>
        </w:rPr>
        <w:t>法定代表人或授权代表：（签字或盖章）</w:t>
      </w:r>
    </w:p>
    <w:p w14:paraId="1793B4EC">
      <w:pPr>
        <w:rPr>
          <w:rFonts w:ascii="宋体" w:hAnsi="宋体" w:cs="新宋体"/>
          <w:sz w:val="28"/>
          <w:szCs w:val="28"/>
        </w:rPr>
      </w:pPr>
    </w:p>
    <w:p w14:paraId="1F0BF4E5">
      <w:pPr>
        <w:jc w:val="center"/>
        <w:rPr>
          <w:rFonts w:ascii="宋体" w:hAnsi="宋体" w:cs="新宋体"/>
          <w:sz w:val="28"/>
          <w:szCs w:val="28"/>
        </w:rPr>
      </w:pPr>
      <w:r>
        <w:rPr>
          <w:rFonts w:hint="eastAsia" w:ascii="宋体" w:hAnsi="宋体" w:cs="新宋体"/>
          <w:sz w:val="28"/>
          <w:szCs w:val="28"/>
        </w:rPr>
        <w:t>年  月  日</w:t>
      </w:r>
    </w:p>
    <w:p w14:paraId="497FAFBE">
      <w:pPr>
        <w:widowControl/>
        <w:jc w:val="left"/>
        <w:rPr>
          <w:rFonts w:ascii="宋体" w:hAnsi="宋体"/>
          <w:b/>
          <w:color w:val="000000"/>
          <w:sz w:val="28"/>
          <w:szCs w:val="28"/>
        </w:rPr>
      </w:pPr>
      <w:r>
        <w:rPr>
          <w:rFonts w:ascii="宋体" w:hAnsi="宋体"/>
          <w:b/>
          <w:color w:val="000000"/>
          <w:sz w:val="28"/>
          <w:szCs w:val="28"/>
        </w:rPr>
        <w:br w:type="page"/>
      </w:r>
    </w:p>
    <w:p w14:paraId="2FB64CB6">
      <w:pPr>
        <w:snapToGrid w:val="0"/>
        <w:spacing w:before="50" w:after="50" w:line="360" w:lineRule="auto"/>
        <w:rPr>
          <w:rFonts w:ascii="宋体" w:hAnsi="宋体"/>
          <w:b/>
          <w:color w:val="000000"/>
          <w:sz w:val="28"/>
          <w:szCs w:val="28"/>
        </w:rPr>
      </w:pPr>
      <w:r>
        <w:rPr>
          <w:rFonts w:hint="eastAsia" w:ascii="宋体" w:hAnsi="宋体"/>
          <w:b/>
          <w:color w:val="000000"/>
          <w:sz w:val="28"/>
          <w:szCs w:val="28"/>
        </w:rPr>
        <w:t>附件十</w:t>
      </w:r>
    </w:p>
    <w:p w14:paraId="18EB52E7">
      <w:pPr>
        <w:spacing w:line="400" w:lineRule="exact"/>
        <w:jc w:val="center"/>
        <w:outlineLvl w:val="2"/>
        <w:rPr>
          <w:rFonts w:ascii="宋体" w:hAnsi="宋体" w:cs="宋体"/>
          <w:sz w:val="32"/>
          <w:szCs w:val="21"/>
        </w:rPr>
      </w:pPr>
      <w:r>
        <w:rPr>
          <w:rFonts w:hint="eastAsia" w:ascii="宋体" w:hAnsi="宋体" w:cs="宋体"/>
          <w:b/>
          <w:bCs/>
          <w:sz w:val="32"/>
          <w:szCs w:val="21"/>
        </w:rPr>
        <w:t>投标报价一览表</w:t>
      </w:r>
      <w:bookmarkEnd w:id="84"/>
    </w:p>
    <w:p w14:paraId="2B9ABA9A">
      <w:pPr>
        <w:spacing w:line="380" w:lineRule="exact"/>
        <w:ind w:firstLine="3187" w:firstLineChars="1449"/>
        <w:rPr>
          <w:rFonts w:ascii="宋体" w:hAnsi="宋体"/>
          <w:b/>
          <w:bCs/>
          <w:sz w:val="22"/>
          <w:szCs w:val="22"/>
        </w:rPr>
      </w:pPr>
      <w:r>
        <w:rPr>
          <w:rFonts w:hint="eastAsia" w:ascii="宋体" w:hAnsi="宋体"/>
          <w:sz w:val="22"/>
          <w:szCs w:val="22"/>
        </w:rPr>
        <w:t xml:space="preserve">                             </w:t>
      </w:r>
      <w:r>
        <w:rPr>
          <w:rFonts w:hint="eastAsia" w:ascii="宋体" w:hAnsi="宋体"/>
          <w:b/>
          <w:bCs/>
          <w:sz w:val="22"/>
          <w:szCs w:val="22"/>
        </w:rPr>
        <w:t>（价格单位：人民币元）</w:t>
      </w:r>
    </w:p>
    <w:tbl>
      <w:tblPr>
        <w:tblStyle w:val="28"/>
        <w:tblW w:w="971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1"/>
        <w:gridCol w:w="7888"/>
      </w:tblGrid>
      <w:tr w14:paraId="732F0C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831" w:type="dxa"/>
            <w:vAlign w:val="center"/>
          </w:tcPr>
          <w:p w14:paraId="680C21DF">
            <w:pPr>
              <w:pStyle w:val="15"/>
              <w:spacing w:beforeLines="0" w:afterLines="0" w:line="460" w:lineRule="exact"/>
              <w:jc w:val="center"/>
              <w:rPr>
                <w:rFonts w:hAnsi="宋体"/>
                <w:b/>
                <w:sz w:val="22"/>
                <w:szCs w:val="22"/>
              </w:rPr>
            </w:pPr>
            <w:r>
              <w:rPr>
                <w:rFonts w:hint="eastAsia" w:hAnsi="宋体"/>
                <w:b/>
                <w:sz w:val="22"/>
                <w:szCs w:val="22"/>
              </w:rPr>
              <w:t>项目名称</w:t>
            </w:r>
          </w:p>
        </w:tc>
        <w:tc>
          <w:tcPr>
            <w:tcW w:w="7888" w:type="dxa"/>
            <w:vAlign w:val="center"/>
          </w:tcPr>
          <w:p w14:paraId="0C7A8713">
            <w:pPr>
              <w:pStyle w:val="15"/>
              <w:spacing w:beforeLines="0" w:afterLines="0" w:line="460" w:lineRule="exact"/>
              <w:rPr>
                <w:rFonts w:hAnsi="宋体"/>
                <w:b/>
                <w:sz w:val="22"/>
                <w:szCs w:val="22"/>
              </w:rPr>
            </w:pPr>
            <w:r>
              <w:rPr>
                <w:rFonts w:hint="eastAsia" w:hAnsi="宋体"/>
                <w:b/>
                <w:sz w:val="22"/>
                <w:szCs w:val="22"/>
              </w:rPr>
              <w:t>温州金洋集装箱码头有限公司25吨叉车维修</w:t>
            </w:r>
          </w:p>
        </w:tc>
      </w:tr>
      <w:tr w14:paraId="4F1BE60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831" w:type="dxa"/>
            <w:vAlign w:val="center"/>
          </w:tcPr>
          <w:p w14:paraId="24E26747">
            <w:pPr>
              <w:pStyle w:val="15"/>
              <w:spacing w:beforeLines="0" w:afterLines="0" w:line="460" w:lineRule="exact"/>
              <w:jc w:val="center"/>
              <w:rPr>
                <w:rFonts w:hAnsi="宋体"/>
                <w:b/>
                <w:sz w:val="22"/>
                <w:szCs w:val="22"/>
              </w:rPr>
            </w:pPr>
            <w:r>
              <w:rPr>
                <w:rFonts w:hint="eastAsia" w:hAnsi="宋体"/>
                <w:b/>
                <w:sz w:val="22"/>
                <w:szCs w:val="22"/>
              </w:rPr>
              <w:t>维修工期</w:t>
            </w:r>
          </w:p>
        </w:tc>
        <w:tc>
          <w:tcPr>
            <w:tcW w:w="7888" w:type="dxa"/>
            <w:vAlign w:val="center"/>
          </w:tcPr>
          <w:p w14:paraId="76FBA18F">
            <w:pPr>
              <w:pStyle w:val="15"/>
              <w:spacing w:beforeLines="0" w:afterLines="0" w:line="460" w:lineRule="exact"/>
              <w:rPr>
                <w:rFonts w:hAnsi="宋体"/>
                <w:b/>
                <w:sz w:val="22"/>
                <w:szCs w:val="22"/>
              </w:rPr>
            </w:pPr>
            <w:r>
              <w:rPr>
                <w:rFonts w:hint="eastAsia" w:hAnsi="宋体"/>
                <w:sz w:val="22"/>
                <w:szCs w:val="22"/>
              </w:rPr>
              <w:t>维修工期：合同签订后，接招标人通知之日起</w:t>
            </w:r>
            <w:r>
              <w:rPr>
                <w:rFonts w:hAnsi="宋体"/>
                <w:sz w:val="22"/>
                <w:szCs w:val="22"/>
                <w:u w:val="single"/>
              </w:rPr>
              <w:t xml:space="preserve">    </w:t>
            </w:r>
            <w:r>
              <w:rPr>
                <w:rFonts w:hint="eastAsia" w:hAnsi="宋体"/>
                <w:sz w:val="22"/>
                <w:szCs w:val="22"/>
              </w:rPr>
              <w:t>个日历天内完成合同范围内设备更换、维修并送回招标人指定地点且通过验收。</w:t>
            </w:r>
          </w:p>
        </w:tc>
      </w:tr>
      <w:tr w14:paraId="74B2BE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831" w:type="dxa"/>
            <w:vAlign w:val="center"/>
          </w:tcPr>
          <w:p w14:paraId="2E3DAFC4">
            <w:pPr>
              <w:pStyle w:val="15"/>
              <w:spacing w:beforeLines="0" w:afterLines="0" w:line="460" w:lineRule="exact"/>
              <w:jc w:val="center"/>
              <w:rPr>
                <w:rFonts w:hAnsi="宋体"/>
                <w:b/>
                <w:sz w:val="22"/>
                <w:szCs w:val="22"/>
              </w:rPr>
            </w:pPr>
            <w:r>
              <w:rPr>
                <w:rFonts w:hint="eastAsia" w:hAnsi="宋体"/>
                <w:b/>
                <w:sz w:val="22"/>
                <w:szCs w:val="22"/>
              </w:rPr>
              <w:t>质保期</w:t>
            </w:r>
          </w:p>
        </w:tc>
        <w:tc>
          <w:tcPr>
            <w:tcW w:w="7888" w:type="dxa"/>
            <w:vAlign w:val="center"/>
          </w:tcPr>
          <w:p w14:paraId="5056229D">
            <w:pPr>
              <w:spacing w:line="460" w:lineRule="exact"/>
              <w:rPr>
                <w:rFonts w:hAnsi="宋体"/>
                <w:b/>
                <w:sz w:val="22"/>
                <w:szCs w:val="22"/>
              </w:rPr>
            </w:pPr>
            <w:r>
              <w:rPr>
                <w:rFonts w:hint="eastAsia" w:ascii="宋体" w:hAnsi="宋体" w:cs="宋体"/>
                <w:sz w:val="22"/>
                <w:szCs w:val="22"/>
              </w:rPr>
              <w:t>质保期；经浙江省特种设备科学研究院出具合格检验报告且双方共同验收合格后，质保期开始起计</w:t>
            </w:r>
            <w:r>
              <w:rPr>
                <w:rFonts w:hint="eastAsia" w:ascii="宋体" w:hAnsi="宋体" w:cs="宋体"/>
                <w:sz w:val="22"/>
                <w:szCs w:val="22"/>
                <w:u w:val="single"/>
              </w:rPr>
              <w:t xml:space="preserve">    </w:t>
            </w:r>
            <w:r>
              <w:rPr>
                <w:rFonts w:hint="eastAsia" w:ascii="宋体" w:hAnsi="宋体" w:cs="宋体"/>
                <w:sz w:val="22"/>
                <w:szCs w:val="22"/>
              </w:rPr>
              <w:t>年。</w:t>
            </w:r>
          </w:p>
        </w:tc>
      </w:tr>
      <w:tr w14:paraId="42DD9CF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831" w:type="dxa"/>
            <w:vAlign w:val="center"/>
          </w:tcPr>
          <w:p w14:paraId="6D46437A">
            <w:pPr>
              <w:pStyle w:val="15"/>
              <w:spacing w:beforeLines="0" w:afterLines="0" w:line="460" w:lineRule="exact"/>
              <w:jc w:val="center"/>
              <w:rPr>
                <w:rFonts w:hAnsi="宋体"/>
                <w:b/>
                <w:sz w:val="22"/>
                <w:szCs w:val="22"/>
              </w:rPr>
            </w:pPr>
            <w:r>
              <w:rPr>
                <w:rFonts w:hint="eastAsia" w:hAnsi="宋体"/>
                <w:b/>
                <w:sz w:val="22"/>
                <w:szCs w:val="22"/>
              </w:rPr>
              <w:t>税率</w:t>
            </w:r>
          </w:p>
        </w:tc>
        <w:tc>
          <w:tcPr>
            <w:tcW w:w="7888" w:type="dxa"/>
            <w:vAlign w:val="center"/>
          </w:tcPr>
          <w:p w14:paraId="70AF1CC8">
            <w:pPr>
              <w:pStyle w:val="15"/>
              <w:spacing w:beforeLines="0" w:afterLines="0" w:line="460" w:lineRule="exact"/>
              <w:rPr>
                <w:rFonts w:hAnsi="宋体"/>
                <w:b/>
                <w:sz w:val="22"/>
                <w:szCs w:val="22"/>
              </w:rPr>
            </w:pPr>
            <w:r>
              <w:rPr>
                <w:rFonts w:hint="eastAsia" w:hAnsi="宋体"/>
                <w:sz w:val="22"/>
                <w:szCs w:val="22"/>
                <w:u w:val="single"/>
              </w:rPr>
              <w:t xml:space="preserve"> 13 </w:t>
            </w:r>
            <w:r>
              <w:rPr>
                <w:rFonts w:hAnsi="宋体"/>
                <w:sz w:val="22"/>
                <w:szCs w:val="22"/>
              </w:rPr>
              <w:t>%</w:t>
            </w:r>
          </w:p>
        </w:tc>
      </w:tr>
      <w:tr w14:paraId="494D6B9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831" w:type="dxa"/>
            <w:vAlign w:val="center"/>
          </w:tcPr>
          <w:p w14:paraId="28AED573">
            <w:pPr>
              <w:pStyle w:val="15"/>
              <w:spacing w:beforeLines="0" w:afterLines="0" w:line="460" w:lineRule="exact"/>
              <w:jc w:val="center"/>
              <w:rPr>
                <w:rFonts w:hAnsi="宋体"/>
                <w:b/>
                <w:sz w:val="22"/>
                <w:szCs w:val="22"/>
              </w:rPr>
            </w:pPr>
            <w:r>
              <w:rPr>
                <w:rFonts w:hint="eastAsia" w:hAnsi="宋体"/>
                <w:b/>
                <w:sz w:val="22"/>
                <w:szCs w:val="22"/>
              </w:rPr>
              <w:t>投标报价</w:t>
            </w:r>
          </w:p>
          <w:p w14:paraId="039E7249">
            <w:pPr>
              <w:pStyle w:val="15"/>
              <w:spacing w:beforeLines="0" w:afterLines="0" w:line="460" w:lineRule="exact"/>
              <w:jc w:val="center"/>
              <w:rPr>
                <w:rFonts w:hAnsi="宋体"/>
                <w:b/>
                <w:sz w:val="22"/>
                <w:szCs w:val="22"/>
              </w:rPr>
            </w:pPr>
            <w:r>
              <w:rPr>
                <w:rFonts w:hint="eastAsia" w:hAnsi="宋体"/>
                <w:b/>
                <w:sz w:val="22"/>
                <w:szCs w:val="22"/>
              </w:rPr>
              <w:t>（总价）</w:t>
            </w:r>
          </w:p>
        </w:tc>
        <w:tc>
          <w:tcPr>
            <w:tcW w:w="7888" w:type="dxa"/>
            <w:vAlign w:val="center"/>
          </w:tcPr>
          <w:p w14:paraId="2763E724">
            <w:pPr>
              <w:pStyle w:val="15"/>
              <w:spacing w:beforeLines="0" w:afterLines="0" w:line="460" w:lineRule="exact"/>
              <w:rPr>
                <w:rFonts w:hAnsi="宋体"/>
                <w:b/>
                <w:sz w:val="22"/>
                <w:szCs w:val="22"/>
              </w:rPr>
            </w:pPr>
            <w:r>
              <w:rPr>
                <w:rFonts w:hint="eastAsia" w:hAnsi="宋体"/>
                <w:b/>
                <w:sz w:val="22"/>
                <w:szCs w:val="22"/>
              </w:rPr>
              <w:t>（大写）：人民币</w:t>
            </w:r>
            <w:r>
              <w:rPr>
                <w:rFonts w:hint="eastAsia" w:hAnsi="宋体"/>
                <w:b/>
                <w:sz w:val="22"/>
                <w:szCs w:val="22"/>
                <w:u w:val="single"/>
              </w:rPr>
              <w:t xml:space="preserve">             </w:t>
            </w:r>
            <w:r>
              <w:rPr>
                <w:rFonts w:hint="eastAsia" w:hAnsi="宋体"/>
                <w:b/>
                <w:sz w:val="22"/>
                <w:szCs w:val="22"/>
              </w:rPr>
              <w:t>元</w:t>
            </w:r>
          </w:p>
          <w:p w14:paraId="4BBD41BE">
            <w:pPr>
              <w:pStyle w:val="15"/>
              <w:spacing w:beforeLines="0" w:afterLines="0" w:line="460" w:lineRule="exact"/>
              <w:rPr>
                <w:rFonts w:hAnsi="宋体"/>
                <w:b/>
                <w:sz w:val="22"/>
                <w:szCs w:val="22"/>
              </w:rPr>
            </w:pPr>
            <w:r>
              <w:rPr>
                <w:rFonts w:hint="eastAsia" w:hAnsi="宋体"/>
                <w:b/>
                <w:sz w:val="22"/>
                <w:szCs w:val="22"/>
              </w:rPr>
              <w:t>（小写）：¥</w:t>
            </w:r>
          </w:p>
        </w:tc>
      </w:tr>
    </w:tbl>
    <w:p w14:paraId="0A0D292E">
      <w:pPr>
        <w:rPr>
          <w:rFonts w:ascii="宋体" w:hAnsi="宋体"/>
          <w:b/>
          <w:bCs/>
          <w:sz w:val="22"/>
          <w:szCs w:val="22"/>
        </w:rPr>
      </w:pPr>
    </w:p>
    <w:p w14:paraId="302908F9">
      <w:pPr>
        <w:spacing w:line="460" w:lineRule="exact"/>
        <w:rPr>
          <w:rFonts w:ascii="宋体" w:hAnsi="宋体" w:cs="宋体"/>
          <w:szCs w:val="21"/>
        </w:rPr>
      </w:pPr>
      <w:r>
        <w:rPr>
          <w:rFonts w:hint="eastAsia" w:ascii="宋体" w:hAnsi="宋体" w:cs="宋体"/>
          <w:b/>
          <w:bCs/>
          <w:szCs w:val="21"/>
        </w:rPr>
        <w:t>说明：1.项目最高限价：人民币</w:t>
      </w:r>
      <w:r>
        <w:rPr>
          <w:rFonts w:hint="eastAsia" w:ascii="宋体" w:hAnsi="宋体" w:cs="宋体"/>
          <w:b/>
          <w:bCs/>
          <w:szCs w:val="21"/>
          <w:lang w:eastAsia="zh-CN"/>
        </w:rPr>
        <w:t>66.4</w:t>
      </w:r>
      <w:r>
        <w:rPr>
          <w:rFonts w:hint="eastAsia" w:ascii="宋体" w:hAnsi="宋体" w:cs="宋体"/>
          <w:b/>
          <w:bCs/>
          <w:szCs w:val="21"/>
        </w:rPr>
        <w:t>万元（含税）。投标人的投标报价不得超过最高限价，否则作否决投标处理。</w:t>
      </w:r>
    </w:p>
    <w:p w14:paraId="39D08E01">
      <w:pPr>
        <w:numPr>
          <w:ilvl w:val="255"/>
          <w:numId w:val="0"/>
        </w:numPr>
        <w:spacing w:line="460" w:lineRule="exact"/>
        <w:rPr>
          <w:rFonts w:ascii="宋体" w:hAnsi="宋体" w:cs="宋体"/>
          <w:b/>
          <w:bCs/>
          <w:szCs w:val="21"/>
        </w:rPr>
      </w:pPr>
      <w:r>
        <w:rPr>
          <w:rFonts w:hint="eastAsia" w:ascii="宋体" w:hAnsi="宋体" w:cs="宋体"/>
          <w:b/>
          <w:bCs/>
          <w:szCs w:val="21"/>
        </w:rPr>
        <w:t>2.本项目为交钥匙工程，本次报价是包含招标文件规定的完成本项目所需的供货、包装、设备来回运输、仓储、装卸、</w:t>
      </w:r>
      <w:r>
        <w:rPr>
          <w:rFonts w:hint="eastAsia" w:ascii="宋体" w:hAnsi="宋体" w:cs="宋体"/>
          <w:b/>
          <w:bCs/>
          <w:szCs w:val="21"/>
          <w:lang w:eastAsia="zh-CN"/>
        </w:rPr>
        <w:t>拆除、安装、调试、浙江省特种设备科学研究院检测费用、</w:t>
      </w:r>
      <w:r>
        <w:rPr>
          <w:rFonts w:hint="eastAsia" w:ascii="宋体" w:hAnsi="宋体" w:cs="宋体"/>
          <w:b/>
          <w:bCs/>
          <w:szCs w:val="21"/>
        </w:rPr>
        <w:t>验收、售后服务、人工、保险、交通费、13%增值税税金、及涉及的辅材等全部工作的总费用（含平台交易服务费）。实行固定费用总价包干。该维修费用已涵盖履行过程中一切风险（包括但不限于材料、人工价格上涨，发生安全事故造成的损害赔偿）。</w:t>
      </w:r>
    </w:p>
    <w:p w14:paraId="3BEEDB88">
      <w:pPr>
        <w:spacing w:line="460" w:lineRule="exact"/>
        <w:rPr>
          <w:rFonts w:ascii="宋体" w:hAnsi="宋体" w:cs="宋体"/>
          <w:szCs w:val="21"/>
        </w:rPr>
      </w:pPr>
      <w:r>
        <w:rPr>
          <w:rFonts w:hint="eastAsia" w:ascii="宋体" w:hAnsi="宋体" w:cs="宋体"/>
          <w:b/>
          <w:bCs/>
          <w:szCs w:val="21"/>
        </w:rPr>
        <w:t>3.★</w:t>
      </w:r>
      <w:r>
        <w:rPr>
          <w:rFonts w:hint="eastAsia" w:ascii="宋体" w:hAnsi="宋体" w:cs="宋体"/>
          <w:b/>
          <w:szCs w:val="21"/>
        </w:rPr>
        <w:t>不提供投标报价一览表的投标文件将被视为未实质性响应投标文件。</w:t>
      </w:r>
    </w:p>
    <w:p w14:paraId="5156BF18">
      <w:pPr>
        <w:spacing w:line="460" w:lineRule="exact"/>
        <w:ind w:firstLine="420" w:firstLineChars="200"/>
        <w:rPr>
          <w:rFonts w:ascii="宋体" w:hAnsi="宋体" w:cs="宋体"/>
          <w:szCs w:val="21"/>
        </w:rPr>
      </w:pPr>
    </w:p>
    <w:p w14:paraId="14F3D31F">
      <w:pPr>
        <w:spacing w:line="380" w:lineRule="exact"/>
        <w:jc w:val="left"/>
        <w:rPr>
          <w:rFonts w:ascii="新宋体" w:hAnsi="新宋体" w:eastAsia="新宋体"/>
          <w:sz w:val="22"/>
          <w:szCs w:val="22"/>
        </w:rPr>
      </w:pPr>
      <w:r>
        <w:rPr>
          <w:rFonts w:hint="eastAsia" w:ascii="新宋体" w:hAnsi="新宋体" w:eastAsia="新宋体"/>
          <w:sz w:val="22"/>
          <w:szCs w:val="22"/>
        </w:rPr>
        <w:t xml:space="preserve">投标人全称（加盖单位公章）： </w:t>
      </w:r>
    </w:p>
    <w:p w14:paraId="75374EAA">
      <w:pPr>
        <w:spacing w:line="380" w:lineRule="exact"/>
        <w:jc w:val="left"/>
        <w:rPr>
          <w:rFonts w:ascii="新宋体" w:hAnsi="新宋体" w:eastAsia="新宋体"/>
          <w:sz w:val="22"/>
          <w:szCs w:val="22"/>
        </w:rPr>
      </w:pPr>
      <w:r>
        <w:rPr>
          <w:rFonts w:hint="eastAsia" w:ascii="新宋体" w:hAnsi="新宋体" w:eastAsia="新宋体"/>
          <w:sz w:val="22"/>
          <w:szCs w:val="22"/>
        </w:rPr>
        <w:t>法定代表人或授权代表（签字或盖章）：</w:t>
      </w:r>
    </w:p>
    <w:p w14:paraId="22A4A246">
      <w:pPr>
        <w:spacing w:line="380" w:lineRule="exact"/>
        <w:jc w:val="left"/>
        <w:rPr>
          <w:rFonts w:ascii="新宋体" w:hAnsi="新宋体" w:eastAsia="新宋体"/>
          <w:sz w:val="22"/>
          <w:szCs w:val="22"/>
        </w:rPr>
      </w:pPr>
      <w:r>
        <w:rPr>
          <w:rFonts w:hint="eastAsia" w:ascii="新宋体" w:hAnsi="新宋体" w:eastAsia="新宋体"/>
          <w:sz w:val="22"/>
          <w:szCs w:val="22"/>
        </w:rPr>
        <w:t>日 期：  年  月  日</w:t>
      </w:r>
    </w:p>
    <w:p w14:paraId="7D4FC0E6">
      <w:pPr>
        <w:jc w:val="left"/>
        <w:rPr>
          <w:rFonts w:ascii="宋体" w:hAnsi="宋体" w:cs="宋体"/>
          <w:szCs w:val="21"/>
        </w:rPr>
      </w:pPr>
      <w:r>
        <w:rPr>
          <w:rFonts w:ascii="宋体" w:hAnsi="宋体" w:cs="宋体"/>
          <w:szCs w:val="21"/>
        </w:rPr>
        <w:br w:type="page"/>
      </w:r>
    </w:p>
    <w:p w14:paraId="727EBA99">
      <w:pPr>
        <w:spacing w:line="400" w:lineRule="exact"/>
        <w:jc w:val="center"/>
        <w:outlineLvl w:val="3"/>
        <w:rPr>
          <w:rFonts w:ascii="宋体" w:hAnsi="宋体" w:cs="宋体"/>
          <w:sz w:val="28"/>
          <w:szCs w:val="20"/>
        </w:rPr>
      </w:pPr>
      <w:r>
        <w:rPr>
          <w:rFonts w:hint="eastAsia" w:ascii="宋体" w:hAnsi="宋体" w:cs="宋体"/>
          <w:b/>
          <w:bCs/>
          <w:sz w:val="28"/>
          <w:szCs w:val="20"/>
        </w:rPr>
        <w:t>分项报价表</w:t>
      </w:r>
    </w:p>
    <w:p w14:paraId="551F4ED4">
      <w:pPr>
        <w:spacing w:line="360" w:lineRule="auto"/>
        <w:rPr>
          <w:rFonts w:ascii="宋体" w:hAnsi="宋体"/>
          <w:b/>
          <w:bCs/>
          <w:sz w:val="22"/>
          <w:szCs w:val="22"/>
        </w:rPr>
      </w:pPr>
      <w:r>
        <w:rPr>
          <w:rFonts w:ascii="宋体" w:hAnsi="宋体"/>
          <w:b/>
          <w:bCs/>
          <w:szCs w:val="21"/>
        </w:rPr>
        <w:t xml:space="preserve">  </w:t>
      </w:r>
    </w:p>
    <w:tbl>
      <w:tblPr>
        <w:tblStyle w:val="28"/>
        <w:tblW w:w="8429" w:type="dxa"/>
        <w:jc w:val="center"/>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69"/>
        <w:gridCol w:w="1235"/>
        <w:gridCol w:w="2930"/>
        <w:gridCol w:w="577"/>
        <w:gridCol w:w="1489"/>
        <w:gridCol w:w="1529"/>
      </w:tblGrid>
      <w:tr w14:paraId="7888A28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263B8FDD">
            <w:pPr>
              <w:widowControl/>
              <w:jc w:val="center"/>
              <w:rPr>
                <w:rFonts w:ascii="宋体" w:hAnsi="宋体" w:cs="宋体"/>
                <w:b/>
                <w:bCs/>
                <w:color w:val="000000"/>
                <w:szCs w:val="21"/>
              </w:rPr>
            </w:pPr>
            <w:r>
              <w:rPr>
                <w:rFonts w:hint="eastAsia" w:ascii="宋体" w:hAnsi="宋体" w:cs="宋体"/>
                <w:b/>
                <w:bCs/>
                <w:color w:val="000000"/>
                <w:kern w:val="0"/>
                <w:szCs w:val="21"/>
              </w:rPr>
              <w:t>序号</w:t>
            </w:r>
          </w:p>
        </w:tc>
        <w:tc>
          <w:tcPr>
            <w:tcW w:w="1235" w:type="dxa"/>
            <w:tcBorders>
              <w:tl2br w:val="nil"/>
              <w:tr2bl w:val="nil"/>
            </w:tcBorders>
            <w:noWrap/>
            <w:tcMar>
              <w:top w:w="15" w:type="dxa"/>
              <w:left w:w="15" w:type="dxa"/>
              <w:right w:w="15" w:type="dxa"/>
            </w:tcMar>
            <w:vAlign w:val="center"/>
          </w:tcPr>
          <w:p w14:paraId="16B84C4F">
            <w:pPr>
              <w:widowControl/>
              <w:jc w:val="center"/>
              <w:rPr>
                <w:rFonts w:ascii="宋体" w:hAnsi="宋体" w:cs="宋体"/>
                <w:b/>
                <w:bCs/>
                <w:color w:val="000000"/>
                <w:kern w:val="0"/>
                <w:szCs w:val="21"/>
              </w:rPr>
            </w:pPr>
            <w:r>
              <w:rPr>
                <w:rFonts w:hint="eastAsia" w:ascii="宋体" w:hAnsi="宋体" w:cs="宋体"/>
                <w:b/>
                <w:bCs/>
                <w:color w:val="000000"/>
                <w:kern w:val="0"/>
                <w:szCs w:val="21"/>
              </w:rPr>
              <w:t>配件编码</w:t>
            </w:r>
          </w:p>
          <w:p w14:paraId="052B9117">
            <w:pPr>
              <w:widowControl/>
              <w:jc w:val="center"/>
              <w:rPr>
                <w:rFonts w:ascii="宋体" w:hAnsi="宋体" w:cs="宋体"/>
                <w:b/>
                <w:bCs/>
                <w:color w:val="000000"/>
                <w:szCs w:val="21"/>
              </w:rPr>
            </w:pPr>
            <w:r>
              <w:rPr>
                <w:rFonts w:hint="eastAsia" w:ascii="宋体" w:hAnsi="宋体" w:cs="宋体"/>
                <w:b/>
                <w:bCs/>
                <w:color w:val="000000"/>
                <w:kern w:val="0"/>
                <w:szCs w:val="21"/>
              </w:rPr>
              <w:t>/（型号）</w:t>
            </w:r>
          </w:p>
        </w:tc>
        <w:tc>
          <w:tcPr>
            <w:tcW w:w="2930" w:type="dxa"/>
            <w:tcBorders>
              <w:tl2br w:val="nil"/>
              <w:tr2bl w:val="nil"/>
            </w:tcBorders>
            <w:noWrap/>
            <w:tcMar>
              <w:top w:w="15" w:type="dxa"/>
              <w:left w:w="15" w:type="dxa"/>
              <w:right w:w="15" w:type="dxa"/>
            </w:tcMar>
            <w:vAlign w:val="center"/>
          </w:tcPr>
          <w:p w14:paraId="46659709">
            <w:pPr>
              <w:widowControl/>
              <w:jc w:val="center"/>
              <w:rPr>
                <w:rFonts w:ascii="宋体" w:hAnsi="宋体" w:cs="宋体"/>
                <w:b/>
                <w:bCs/>
                <w:color w:val="000000"/>
                <w:szCs w:val="21"/>
              </w:rPr>
            </w:pPr>
            <w:r>
              <w:rPr>
                <w:rFonts w:hint="eastAsia" w:ascii="宋体" w:hAnsi="宋体" w:cs="宋体"/>
                <w:b/>
                <w:bCs/>
                <w:color w:val="000000"/>
                <w:kern w:val="0"/>
                <w:szCs w:val="21"/>
              </w:rPr>
              <w:t>名称</w:t>
            </w:r>
          </w:p>
        </w:tc>
        <w:tc>
          <w:tcPr>
            <w:tcW w:w="577" w:type="dxa"/>
            <w:tcBorders>
              <w:tl2br w:val="nil"/>
              <w:tr2bl w:val="nil"/>
            </w:tcBorders>
            <w:noWrap/>
            <w:tcMar>
              <w:top w:w="15" w:type="dxa"/>
              <w:left w:w="15" w:type="dxa"/>
              <w:right w:w="15" w:type="dxa"/>
            </w:tcMar>
            <w:vAlign w:val="center"/>
          </w:tcPr>
          <w:p w14:paraId="77FCC810">
            <w:pPr>
              <w:widowControl/>
              <w:jc w:val="center"/>
              <w:rPr>
                <w:rFonts w:ascii="宋体" w:hAnsi="宋体" w:cs="宋体"/>
                <w:b/>
                <w:bCs/>
                <w:color w:val="000000"/>
                <w:szCs w:val="21"/>
              </w:rPr>
            </w:pPr>
            <w:r>
              <w:rPr>
                <w:rFonts w:hint="eastAsia" w:ascii="宋体" w:hAnsi="宋体" w:cs="宋体"/>
                <w:b/>
                <w:bCs/>
                <w:color w:val="000000"/>
                <w:kern w:val="0"/>
                <w:szCs w:val="21"/>
              </w:rPr>
              <w:t>数量</w:t>
            </w:r>
          </w:p>
        </w:tc>
        <w:tc>
          <w:tcPr>
            <w:tcW w:w="1489" w:type="dxa"/>
            <w:tcBorders>
              <w:tl2br w:val="nil"/>
              <w:tr2bl w:val="nil"/>
            </w:tcBorders>
            <w:shd w:val="clear" w:color="auto" w:fill="auto"/>
            <w:noWrap/>
            <w:tcMar>
              <w:top w:w="15" w:type="dxa"/>
              <w:left w:w="15" w:type="dxa"/>
              <w:right w:w="15" w:type="dxa"/>
            </w:tcMar>
            <w:vAlign w:val="center"/>
          </w:tcPr>
          <w:p w14:paraId="258E79ED">
            <w:pPr>
              <w:pStyle w:val="15"/>
              <w:snapToGrid w:val="0"/>
              <w:spacing w:before="156" w:after="156" w:line="240" w:lineRule="auto"/>
              <w:jc w:val="center"/>
              <w:rPr>
                <w:rFonts w:hAnsi="宋体" w:cs="宋体"/>
                <w:bCs/>
                <w:kern w:val="2"/>
                <w:sz w:val="22"/>
                <w:szCs w:val="22"/>
              </w:rPr>
            </w:pPr>
            <w:r>
              <w:rPr>
                <w:rFonts w:hint="eastAsia" w:hAnsi="宋体" w:cs="宋体"/>
                <w:bCs/>
                <w:kern w:val="2"/>
                <w:sz w:val="22"/>
                <w:szCs w:val="22"/>
              </w:rPr>
              <w:t>单价（含税，元）</w:t>
            </w:r>
          </w:p>
        </w:tc>
        <w:tc>
          <w:tcPr>
            <w:tcW w:w="1529" w:type="dxa"/>
            <w:tcBorders>
              <w:tl2br w:val="nil"/>
              <w:tr2bl w:val="nil"/>
            </w:tcBorders>
            <w:shd w:val="clear" w:color="auto" w:fill="auto"/>
            <w:noWrap/>
            <w:tcMar>
              <w:top w:w="15" w:type="dxa"/>
              <w:left w:w="15" w:type="dxa"/>
              <w:right w:w="15" w:type="dxa"/>
            </w:tcMar>
            <w:vAlign w:val="center"/>
          </w:tcPr>
          <w:p w14:paraId="3EEC7345">
            <w:pPr>
              <w:pStyle w:val="15"/>
              <w:snapToGrid w:val="0"/>
              <w:spacing w:before="156" w:after="156" w:line="240" w:lineRule="auto"/>
              <w:jc w:val="center"/>
              <w:rPr>
                <w:rFonts w:hAnsi="宋体" w:cs="宋体"/>
                <w:bCs/>
                <w:kern w:val="2"/>
                <w:sz w:val="22"/>
                <w:szCs w:val="22"/>
              </w:rPr>
            </w:pPr>
            <w:r>
              <w:rPr>
                <w:rFonts w:hint="eastAsia" w:hAnsi="宋体" w:cs="宋体"/>
                <w:bCs/>
                <w:kern w:val="2"/>
                <w:sz w:val="22"/>
                <w:szCs w:val="22"/>
              </w:rPr>
              <w:t>总计（含税，元）</w:t>
            </w:r>
          </w:p>
        </w:tc>
      </w:tr>
      <w:tr w14:paraId="2B0CE1E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4EAE8026">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w:t>
            </w:r>
          </w:p>
        </w:tc>
        <w:tc>
          <w:tcPr>
            <w:tcW w:w="1235" w:type="dxa"/>
            <w:tcBorders>
              <w:tl2br w:val="nil"/>
              <w:tr2bl w:val="nil"/>
            </w:tcBorders>
            <w:noWrap/>
            <w:tcMar>
              <w:top w:w="15" w:type="dxa"/>
              <w:left w:w="15" w:type="dxa"/>
              <w:right w:w="15" w:type="dxa"/>
            </w:tcMar>
            <w:vAlign w:val="center"/>
          </w:tcPr>
          <w:p w14:paraId="27C536C9">
            <w:pPr>
              <w:widowControl/>
              <w:jc w:val="center"/>
              <w:rPr>
                <w:rFonts w:ascii="宋体" w:hAnsi="宋体" w:cs="宋体"/>
                <w:color w:val="000000"/>
                <w:szCs w:val="21"/>
              </w:rPr>
            </w:pPr>
            <w:r>
              <w:rPr>
                <w:rFonts w:hint="eastAsia" w:ascii="宋体" w:hAnsi="宋体" w:cs="宋体"/>
                <w:color w:val="000000"/>
                <w:szCs w:val="21"/>
              </w:rPr>
              <w:t>\</w:t>
            </w:r>
          </w:p>
        </w:tc>
        <w:tc>
          <w:tcPr>
            <w:tcW w:w="2930" w:type="dxa"/>
            <w:tcBorders>
              <w:tl2br w:val="nil"/>
              <w:tr2bl w:val="nil"/>
            </w:tcBorders>
            <w:shd w:val="clear" w:color="auto" w:fill="auto"/>
            <w:noWrap/>
            <w:tcMar>
              <w:top w:w="15" w:type="dxa"/>
              <w:left w:w="15" w:type="dxa"/>
              <w:right w:w="15" w:type="dxa"/>
            </w:tcMar>
            <w:vAlign w:val="center"/>
          </w:tcPr>
          <w:p w14:paraId="5B6C71D2">
            <w:pPr>
              <w:widowControl/>
              <w:jc w:val="center"/>
              <w:rPr>
                <w:rFonts w:ascii="宋体" w:hAnsi="宋体" w:cs="宋体"/>
                <w:szCs w:val="21"/>
              </w:rPr>
            </w:pPr>
            <w:r>
              <w:rPr>
                <w:rFonts w:hint="eastAsia" w:ascii="宋体" w:hAnsi="宋体" w:cs="宋体"/>
                <w:szCs w:val="21"/>
              </w:rPr>
              <w:t>更换卡尔玛原厂门架总成</w:t>
            </w:r>
          </w:p>
          <w:p w14:paraId="106973D8">
            <w:pPr>
              <w:widowControl/>
              <w:jc w:val="center"/>
              <w:rPr>
                <w:rFonts w:ascii="宋体" w:hAnsi="宋体" w:cs="宋体"/>
                <w:snapToGrid w:val="0"/>
                <w:color w:val="000000"/>
                <w:kern w:val="0"/>
                <w:szCs w:val="21"/>
              </w:rPr>
            </w:pPr>
          </w:p>
        </w:tc>
        <w:tc>
          <w:tcPr>
            <w:tcW w:w="577" w:type="dxa"/>
            <w:tcBorders>
              <w:tl2br w:val="nil"/>
              <w:tr2bl w:val="nil"/>
            </w:tcBorders>
            <w:shd w:val="clear" w:color="auto" w:fill="auto"/>
            <w:noWrap/>
            <w:tcMar>
              <w:top w:w="15" w:type="dxa"/>
              <w:left w:w="15" w:type="dxa"/>
              <w:right w:w="15" w:type="dxa"/>
            </w:tcMar>
            <w:vAlign w:val="center"/>
          </w:tcPr>
          <w:p w14:paraId="4A7DE660">
            <w:pPr>
              <w:widowControl/>
              <w:jc w:val="center"/>
              <w:rPr>
                <w:rFonts w:ascii="宋体" w:hAnsi="宋体" w:cs="宋体"/>
                <w:snapToGrid w:val="0"/>
                <w:color w:val="000000"/>
                <w:kern w:val="0"/>
                <w:szCs w:val="21"/>
              </w:rPr>
            </w:pPr>
            <w:r>
              <w:rPr>
                <w:rFonts w:hint="eastAsia" w:ascii="宋体" w:hAnsi="宋体" w:cs="宋体"/>
                <w:szCs w:val="21"/>
              </w:rPr>
              <w:t>1</w:t>
            </w:r>
          </w:p>
        </w:tc>
        <w:tc>
          <w:tcPr>
            <w:tcW w:w="1489" w:type="dxa"/>
            <w:tcBorders>
              <w:tl2br w:val="nil"/>
              <w:tr2bl w:val="nil"/>
            </w:tcBorders>
            <w:shd w:val="clear" w:color="auto" w:fill="auto"/>
            <w:noWrap/>
            <w:tcMar>
              <w:top w:w="15" w:type="dxa"/>
              <w:left w:w="15" w:type="dxa"/>
              <w:right w:w="15" w:type="dxa"/>
            </w:tcMar>
            <w:vAlign w:val="center"/>
          </w:tcPr>
          <w:p w14:paraId="683A9ADA">
            <w:pPr>
              <w:widowControl/>
              <w:jc w:val="center"/>
              <w:rPr>
                <w:rFonts w:ascii="宋体" w:hAnsi="宋体" w:cs="宋体"/>
                <w:szCs w:val="21"/>
              </w:rPr>
            </w:pPr>
          </w:p>
        </w:tc>
        <w:tc>
          <w:tcPr>
            <w:tcW w:w="1529" w:type="dxa"/>
            <w:tcBorders>
              <w:tl2br w:val="nil"/>
              <w:tr2bl w:val="nil"/>
            </w:tcBorders>
            <w:shd w:val="clear" w:color="auto" w:fill="auto"/>
            <w:noWrap/>
            <w:tcMar>
              <w:top w:w="15" w:type="dxa"/>
              <w:left w:w="15" w:type="dxa"/>
              <w:right w:w="15" w:type="dxa"/>
            </w:tcMar>
            <w:vAlign w:val="center"/>
          </w:tcPr>
          <w:p w14:paraId="533B962D">
            <w:pPr>
              <w:widowControl/>
              <w:jc w:val="center"/>
              <w:rPr>
                <w:rFonts w:ascii="宋体" w:hAnsi="宋体" w:cs="宋体"/>
                <w:szCs w:val="21"/>
              </w:rPr>
            </w:pPr>
          </w:p>
        </w:tc>
      </w:tr>
      <w:tr w14:paraId="0766155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5B76F3E2">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w:t>
            </w:r>
          </w:p>
        </w:tc>
        <w:tc>
          <w:tcPr>
            <w:tcW w:w="1235" w:type="dxa"/>
            <w:tcBorders>
              <w:tl2br w:val="nil"/>
              <w:tr2bl w:val="nil"/>
            </w:tcBorders>
            <w:shd w:val="clear" w:color="auto" w:fill="FFFFFF"/>
            <w:noWrap/>
            <w:tcMar>
              <w:top w:w="15" w:type="dxa"/>
              <w:left w:w="15" w:type="dxa"/>
              <w:right w:w="15" w:type="dxa"/>
            </w:tcMar>
            <w:vAlign w:val="center"/>
          </w:tcPr>
          <w:p w14:paraId="24BD1A06">
            <w:pPr>
              <w:widowControl/>
              <w:jc w:val="center"/>
              <w:rPr>
                <w:rFonts w:ascii="宋体" w:hAnsi="宋体" w:cs="宋体"/>
                <w:color w:val="000000"/>
                <w:szCs w:val="21"/>
              </w:rPr>
            </w:pPr>
            <w:r>
              <w:rPr>
                <w:rFonts w:hint="eastAsia" w:ascii="宋体" w:hAnsi="宋体" w:cs="宋体"/>
                <w:color w:val="000000"/>
                <w:szCs w:val="21"/>
                <w:lang w:val="en-US" w:eastAsia="zh-CN"/>
              </w:rPr>
              <w:t>\</w:t>
            </w:r>
          </w:p>
        </w:tc>
        <w:tc>
          <w:tcPr>
            <w:tcW w:w="2930" w:type="dxa"/>
            <w:tcBorders>
              <w:tl2br w:val="nil"/>
              <w:tr2bl w:val="nil"/>
            </w:tcBorders>
            <w:shd w:val="clear" w:color="auto" w:fill="auto"/>
            <w:noWrap/>
            <w:tcMar>
              <w:top w:w="15" w:type="dxa"/>
              <w:left w:w="15" w:type="dxa"/>
              <w:right w:w="15" w:type="dxa"/>
            </w:tcMar>
            <w:vAlign w:val="center"/>
          </w:tcPr>
          <w:p w14:paraId="7AE93463">
            <w:pPr>
              <w:widowControl/>
              <w:jc w:val="center"/>
              <w:rPr>
                <w:rFonts w:ascii="宋体" w:hAnsi="宋体" w:cs="宋体"/>
                <w:snapToGrid w:val="0"/>
                <w:color w:val="000000"/>
                <w:kern w:val="0"/>
                <w:szCs w:val="21"/>
              </w:rPr>
            </w:pPr>
            <w:r>
              <w:rPr>
                <w:rFonts w:hint="eastAsia" w:ascii="宋体" w:hAnsi="宋体" w:cs="宋体"/>
                <w:szCs w:val="21"/>
                <w:lang w:val="en-US" w:eastAsia="zh-CN"/>
              </w:rPr>
              <w:t>全车油漆（底漆和面漆）</w:t>
            </w:r>
          </w:p>
        </w:tc>
        <w:tc>
          <w:tcPr>
            <w:tcW w:w="577" w:type="dxa"/>
            <w:tcBorders>
              <w:tl2br w:val="nil"/>
              <w:tr2bl w:val="nil"/>
            </w:tcBorders>
            <w:shd w:val="clear" w:color="auto" w:fill="auto"/>
            <w:noWrap/>
            <w:tcMar>
              <w:top w:w="15" w:type="dxa"/>
              <w:left w:w="15" w:type="dxa"/>
              <w:right w:w="15" w:type="dxa"/>
            </w:tcMar>
            <w:vAlign w:val="center"/>
          </w:tcPr>
          <w:p w14:paraId="20BACB78">
            <w:pPr>
              <w:widowControl/>
              <w:jc w:val="center"/>
              <w:rPr>
                <w:rFonts w:ascii="宋体" w:hAnsi="宋体" w:cs="宋体"/>
                <w:snapToGrid w:val="0"/>
                <w:color w:val="000000"/>
                <w:kern w:val="0"/>
                <w:szCs w:val="21"/>
              </w:rPr>
            </w:pPr>
            <w:r>
              <w:rPr>
                <w:rFonts w:hint="eastAsia" w:ascii="宋体" w:hAnsi="宋体" w:cs="宋体"/>
                <w:szCs w:val="21"/>
                <w:lang w:val="en-US" w:eastAsia="zh-CN"/>
              </w:rPr>
              <w:t>1</w:t>
            </w:r>
          </w:p>
        </w:tc>
        <w:tc>
          <w:tcPr>
            <w:tcW w:w="1489" w:type="dxa"/>
            <w:tcBorders>
              <w:tl2br w:val="nil"/>
              <w:tr2bl w:val="nil"/>
            </w:tcBorders>
            <w:shd w:val="clear" w:color="auto" w:fill="auto"/>
            <w:noWrap/>
            <w:tcMar>
              <w:top w:w="15" w:type="dxa"/>
              <w:left w:w="15" w:type="dxa"/>
              <w:right w:w="15" w:type="dxa"/>
            </w:tcMar>
            <w:vAlign w:val="center"/>
          </w:tcPr>
          <w:p w14:paraId="0571A9DF">
            <w:pPr>
              <w:widowControl/>
              <w:jc w:val="center"/>
              <w:rPr>
                <w:rFonts w:ascii="宋体" w:hAnsi="宋体" w:cs="宋体"/>
                <w:szCs w:val="21"/>
              </w:rPr>
            </w:pPr>
          </w:p>
        </w:tc>
        <w:tc>
          <w:tcPr>
            <w:tcW w:w="1529" w:type="dxa"/>
            <w:tcBorders>
              <w:tl2br w:val="nil"/>
              <w:tr2bl w:val="nil"/>
            </w:tcBorders>
            <w:shd w:val="clear" w:color="auto" w:fill="auto"/>
            <w:noWrap/>
            <w:tcMar>
              <w:top w:w="15" w:type="dxa"/>
              <w:left w:w="15" w:type="dxa"/>
              <w:right w:w="15" w:type="dxa"/>
            </w:tcMar>
            <w:vAlign w:val="center"/>
          </w:tcPr>
          <w:p w14:paraId="3BECDEC3">
            <w:pPr>
              <w:widowControl/>
              <w:jc w:val="center"/>
              <w:rPr>
                <w:rFonts w:ascii="宋体" w:hAnsi="宋体" w:cs="宋体"/>
                <w:szCs w:val="21"/>
              </w:rPr>
            </w:pPr>
          </w:p>
        </w:tc>
      </w:tr>
      <w:tr w14:paraId="4C4913F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53CE27DB">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w:t>
            </w:r>
          </w:p>
        </w:tc>
        <w:tc>
          <w:tcPr>
            <w:tcW w:w="1235" w:type="dxa"/>
            <w:tcBorders>
              <w:tl2br w:val="nil"/>
              <w:tr2bl w:val="nil"/>
            </w:tcBorders>
            <w:shd w:val="clear" w:color="auto" w:fill="FFFFFF"/>
            <w:noWrap/>
            <w:tcMar>
              <w:top w:w="15" w:type="dxa"/>
              <w:left w:w="15" w:type="dxa"/>
              <w:right w:w="15" w:type="dxa"/>
            </w:tcMar>
            <w:vAlign w:val="center"/>
          </w:tcPr>
          <w:p w14:paraId="3A459D63">
            <w:pPr>
              <w:widowControl/>
              <w:jc w:val="center"/>
              <w:rPr>
                <w:rFonts w:ascii="宋体" w:hAnsi="宋体" w:cs="宋体"/>
                <w:color w:val="000000"/>
                <w:szCs w:val="21"/>
              </w:rPr>
            </w:pPr>
            <w:r>
              <w:rPr>
                <w:rFonts w:hint="eastAsia" w:ascii="宋体" w:hAnsi="宋体" w:cs="宋体"/>
                <w:snapToGrid w:val="0"/>
                <w:color w:val="000000"/>
                <w:kern w:val="0"/>
                <w:szCs w:val="21"/>
                <w:lang w:bidi="ar"/>
              </w:rPr>
              <w:t>A51795.0055</w:t>
            </w:r>
          </w:p>
        </w:tc>
        <w:tc>
          <w:tcPr>
            <w:tcW w:w="2930" w:type="dxa"/>
            <w:tcBorders>
              <w:tl2br w:val="nil"/>
              <w:tr2bl w:val="nil"/>
            </w:tcBorders>
            <w:shd w:val="clear" w:color="auto" w:fill="auto"/>
            <w:noWrap/>
            <w:tcMar>
              <w:top w:w="15" w:type="dxa"/>
              <w:left w:w="15" w:type="dxa"/>
              <w:right w:w="15" w:type="dxa"/>
            </w:tcMar>
            <w:vAlign w:val="center"/>
          </w:tcPr>
          <w:p w14:paraId="747D164C">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snapToGrid w:val="0"/>
                <w:color w:val="000000"/>
                <w:kern w:val="0"/>
                <w:szCs w:val="21"/>
                <w:lang w:bidi="ar"/>
              </w:rPr>
              <w:t>九通阀至手刹阀油管</w:t>
            </w:r>
          </w:p>
        </w:tc>
        <w:tc>
          <w:tcPr>
            <w:tcW w:w="577" w:type="dxa"/>
            <w:tcBorders>
              <w:tl2br w:val="nil"/>
              <w:tr2bl w:val="nil"/>
            </w:tcBorders>
            <w:shd w:val="clear" w:color="auto" w:fill="auto"/>
            <w:noWrap/>
            <w:tcMar>
              <w:top w:w="15" w:type="dxa"/>
              <w:left w:w="15" w:type="dxa"/>
              <w:right w:w="15" w:type="dxa"/>
            </w:tcMar>
            <w:vAlign w:val="center"/>
          </w:tcPr>
          <w:p w14:paraId="7BAA7804">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noWrap/>
            <w:tcMar>
              <w:top w:w="15" w:type="dxa"/>
              <w:left w:w="15" w:type="dxa"/>
              <w:right w:w="15" w:type="dxa"/>
            </w:tcMar>
            <w:vAlign w:val="center"/>
          </w:tcPr>
          <w:p w14:paraId="4FE8C173">
            <w:pPr>
              <w:widowControl/>
              <w:jc w:val="center"/>
              <w:rPr>
                <w:rFonts w:ascii="宋体" w:hAnsi="宋体" w:cs="宋体"/>
                <w:szCs w:val="21"/>
              </w:rPr>
            </w:pPr>
          </w:p>
        </w:tc>
        <w:tc>
          <w:tcPr>
            <w:tcW w:w="1529" w:type="dxa"/>
            <w:tcBorders>
              <w:tl2br w:val="nil"/>
              <w:tr2bl w:val="nil"/>
            </w:tcBorders>
            <w:shd w:val="clear" w:color="auto" w:fill="auto"/>
            <w:noWrap/>
            <w:tcMar>
              <w:top w:w="15" w:type="dxa"/>
              <w:left w:w="15" w:type="dxa"/>
              <w:right w:w="15" w:type="dxa"/>
            </w:tcMar>
            <w:vAlign w:val="center"/>
          </w:tcPr>
          <w:p w14:paraId="73B56A7E">
            <w:pPr>
              <w:widowControl/>
              <w:jc w:val="center"/>
              <w:rPr>
                <w:rFonts w:ascii="宋体" w:hAnsi="宋体" w:cs="宋体"/>
                <w:szCs w:val="21"/>
              </w:rPr>
            </w:pPr>
          </w:p>
        </w:tc>
      </w:tr>
      <w:tr w14:paraId="2A95F86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522849BA">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w:t>
            </w:r>
          </w:p>
        </w:tc>
        <w:tc>
          <w:tcPr>
            <w:tcW w:w="1235" w:type="dxa"/>
            <w:tcBorders>
              <w:tl2br w:val="nil"/>
              <w:tr2bl w:val="nil"/>
            </w:tcBorders>
            <w:shd w:val="clear" w:color="auto" w:fill="FFFFFF"/>
            <w:noWrap/>
            <w:tcMar>
              <w:top w:w="15" w:type="dxa"/>
              <w:left w:w="15" w:type="dxa"/>
              <w:right w:w="15" w:type="dxa"/>
            </w:tcMar>
            <w:vAlign w:val="center"/>
          </w:tcPr>
          <w:p w14:paraId="0668F566">
            <w:pPr>
              <w:widowControl/>
              <w:jc w:val="center"/>
              <w:rPr>
                <w:rFonts w:ascii="宋体" w:hAnsi="宋体" w:cs="宋体"/>
                <w:color w:val="000000"/>
                <w:szCs w:val="21"/>
              </w:rPr>
            </w:pPr>
            <w:r>
              <w:rPr>
                <w:rFonts w:hint="eastAsia" w:ascii="宋体" w:hAnsi="宋体" w:cs="宋体"/>
                <w:snapToGrid w:val="0"/>
                <w:color w:val="000000"/>
                <w:kern w:val="0"/>
                <w:szCs w:val="21"/>
                <w:lang w:bidi="ar"/>
              </w:rPr>
              <w:t>A51969.0080</w:t>
            </w:r>
          </w:p>
        </w:tc>
        <w:tc>
          <w:tcPr>
            <w:tcW w:w="2930" w:type="dxa"/>
            <w:tcBorders>
              <w:tl2br w:val="nil"/>
              <w:tr2bl w:val="nil"/>
            </w:tcBorders>
            <w:shd w:val="clear" w:color="auto" w:fill="auto"/>
            <w:noWrap/>
            <w:tcMar>
              <w:top w:w="15" w:type="dxa"/>
              <w:left w:w="15" w:type="dxa"/>
              <w:right w:w="15" w:type="dxa"/>
            </w:tcMar>
            <w:vAlign w:val="center"/>
          </w:tcPr>
          <w:p w14:paraId="0994F7B6">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snapToGrid w:val="0"/>
                <w:color w:val="000000"/>
                <w:kern w:val="0"/>
                <w:szCs w:val="21"/>
                <w:lang w:bidi="ar"/>
              </w:rPr>
              <w:t>九通阀至手刹阀油管</w:t>
            </w:r>
          </w:p>
        </w:tc>
        <w:tc>
          <w:tcPr>
            <w:tcW w:w="577" w:type="dxa"/>
            <w:tcBorders>
              <w:tl2br w:val="nil"/>
              <w:tr2bl w:val="nil"/>
            </w:tcBorders>
            <w:shd w:val="clear" w:color="auto" w:fill="auto"/>
            <w:noWrap/>
            <w:tcMar>
              <w:top w:w="15" w:type="dxa"/>
              <w:left w:w="15" w:type="dxa"/>
              <w:right w:w="15" w:type="dxa"/>
            </w:tcMar>
            <w:vAlign w:val="center"/>
          </w:tcPr>
          <w:p w14:paraId="1E9F4447">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noWrap/>
            <w:tcMar>
              <w:top w:w="15" w:type="dxa"/>
              <w:left w:w="15" w:type="dxa"/>
              <w:right w:w="15" w:type="dxa"/>
            </w:tcMar>
            <w:vAlign w:val="center"/>
          </w:tcPr>
          <w:p w14:paraId="65C07E8E">
            <w:pPr>
              <w:widowControl/>
              <w:jc w:val="center"/>
              <w:rPr>
                <w:rFonts w:ascii="宋体" w:hAnsi="宋体" w:cs="宋体"/>
                <w:color w:val="000000"/>
                <w:szCs w:val="21"/>
              </w:rPr>
            </w:pPr>
          </w:p>
        </w:tc>
        <w:tc>
          <w:tcPr>
            <w:tcW w:w="1529" w:type="dxa"/>
            <w:tcBorders>
              <w:tl2br w:val="nil"/>
              <w:tr2bl w:val="nil"/>
            </w:tcBorders>
            <w:shd w:val="clear" w:color="auto" w:fill="auto"/>
            <w:noWrap/>
            <w:tcMar>
              <w:top w:w="15" w:type="dxa"/>
              <w:left w:w="15" w:type="dxa"/>
              <w:right w:w="15" w:type="dxa"/>
            </w:tcMar>
            <w:vAlign w:val="center"/>
          </w:tcPr>
          <w:p w14:paraId="20FDDBBF">
            <w:pPr>
              <w:widowControl/>
              <w:jc w:val="center"/>
              <w:rPr>
                <w:rFonts w:ascii="宋体" w:hAnsi="宋体" w:cs="宋体"/>
                <w:color w:val="000000"/>
                <w:szCs w:val="21"/>
              </w:rPr>
            </w:pPr>
          </w:p>
        </w:tc>
      </w:tr>
      <w:tr w14:paraId="6BB5766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5613349F">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w:t>
            </w:r>
          </w:p>
        </w:tc>
        <w:tc>
          <w:tcPr>
            <w:tcW w:w="1235" w:type="dxa"/>
            <w:tcBorders>
              <w:tl2br w:val="nil"/>
              <w:tr2bl w:val="nil"/>
            </w:tcBorders>
            <w:shd w:val="clear" w:color="auto" w:fill="auto"/>
            <w:noWrap/>
            <w:tcMar>
              <w:top w:w="15" w:type="dxa"/>
              <w:left w:w="15" w:type="dxa"/>
              <w:right w:w="15" w:type="dxa"/>
            </w:tcMar>
            <w:vAlign w:val="center"/>
          </w:tcPr>
          <w:p w14:paraId="7A9200F8">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A52682.0100</w:t>
            </w:r>
          </w:p>
        </w:tc>
        <w:tc>
          <w:tcPr>
            <w:tcW w:w="2930" w:type="dxa"/>
            <w:tcBorders>
              <w:tl2br w:val="nil"/>
              <w:tr2bl w:val="nil"/>
            </w:tcBorders>
            <w:shd w:val="clear" w:color="auto" w:fill="auto"/>
            <w:noWrap/>
            <w:tcMar>
              <w:top w:w="15" w:type="dxa"/>
              <w:left w:w="15" w:type="dxa"/>
              <w:right w:w="15" w:type="dxa"/>
            </w:tcMar>
            <w:vAlign w:val="center"/>
          </w:tcPr>
          <w:p w14:paraId="40DDFB09">
            <w:pPr>
              <w:widowControl/>
              <w:jc w:val="center"/>
              <w:rPr>
                <w:rFonts w:ascii="宋体" w:hAnsi="宋体" w:cs="宋体"/>
                <w:snapToGrid w:val="0"/>
                <w:color w:val="000000"/>
                <w:kern w:val="0"/>
                <w:szCs w:val="21"/>
                <w:lang w:eastAsia="en-US"/>
              </w:rPr>
            </w:pPr>
            <w:r>
              <w:rPr>
                <w:rFonts w:hint="eastAsia" w:ascii="宋体" w:hAnsi="宋体" w:cs="宋体"/>
                <w:szCs w:val="21"/>
              </w:rPr>
              <w:t>更换</w:t>
            </w:r>
            <w:r>
              <w:rPr>
                <w:rFonts w:hint="eastAsia" w:ascii="宋体" w:hAnsi="宋体" w:cs="宋体"/>
                <w:snapToGrid w:val="0"/>
                <w:color w:val="000000"/>
                <w:kern w:val="0"/>
                <w:szCs w:val="21"/>
                <w:lang w:bidi="ar"/>
              </w:rPr>
              <w:t>九通阀至驱动桥散热油管</w:t>
            </w:r>
          </w:p>
        </w:tc>
        <w:tc>
          <w:tcPr>
            <w:tcW w:w="577" w:type="dxa"/>
            <w:tcBorders>
              <w:tl2br w:val="nil"/>
              <w:tr2bl w:val="nil"/>
            </w:tcBorders>
            <w:shd w:val="clear" w:color="auto" w:fill="auto"/>
            <w:noWrap/>
            <w:tcMar>
              <w:top w:w="15" w:type="dxa"/>
              <w:left w:w="15" w:type="dxa"/>
              <w:right w:w="15" w:type="dxa"/>
            </w:tcMar>
            <w:vAlign w:val="center"/>
          </w:tcPr>
          <w:p w14:paraId="1A970687">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4</w:t>
            </w:r>
          </w:p>
        </w:tc>
        <w:tc>
          <w:tcPr>
            <w:tcW w:w="1489" w:type="dxa"/>
            <w:tcBorders>
              <w:tl2br w:val="nil"/>
              <w:tr2bl w:val="nil"/>
            </w:tcBorders>
            <w:shd w:val="clear" w:color="auto" w:fill="auto"/>
            <w:noWrap/>
            <w:tcMar>
              <w:top w:w="15" w:type="dxa"/>
              <w:left w:w="15" w:type="dxa"/>
              <w:right w:w="15" w:type="dxa"/>
            </w:tcMar>
            <w:vAlign w:val="center"/>
          </w:tcPr>
          <w:p w14:paraId="3A8CE520">
            <w:pPr>
              <w:widowControl/>
              <w:jc w:val="center"/>
              <w:rPr>
                <w:rFonts w:ascii="宋体" w:hAnsi="宋体" w:cs="宋体"/>
                <w:color w:val="000000"/>
                <w:szCs w:val="21"/>
              </w:rPr>
            </w:pPr>
          </w:p>
        </w:tc>
        <w:tc>
          <w:tcPr>
            <w:tcW w:w="1529" w:type="dxa"/>
            <w:tcBorders>
              <w:tl2br w:val="nil"/>
              <w:tr2bl w:val="nil"/>
            </w:tcBorders>
            <w:shd w:val="clear" w:color="auto" w:fill="auto"/>
            <w:noWrap/>
            <w:tcMar>
              <w:top w:w="15" w:type="dxa"/>
              <w:left w:w="15" w:type="dxa"/>
              <w:right w:w="15" w:type="dxa"/>
            </w:tcMar>
            <w:vAlign w:val="center"/>
          </w:tcPr>
          <w:p w14:paraId="78B3EFB3">
            <w:pPr>
              <w:widowControl/>
              <w:jc w:val="center"/>
              <w:rPr>
                <w:rFonts w:ascii="宋体" w:hAnsi="宋体" w:cs="宋体"/>
                <w:color w:val="000000"/>
                <w:szCs w:val="21"/>
              </w:rPr>
            </w:pPr>
          </w:p>
        </w:tc>
      </w:tr>
      <w:tr w14:paraId="4E2F661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2F99F7FC">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6</w:t>
            </w:r>
          </w:p>
        </w:tc>
        <w:tc>
          <w:tcPr>
            <w:tcW w:w="1235" w:type="dxa"/>
            <w:tcBorders>
              <w:tl2br w:val="nil"/>
              <w:tr2bl w:val="nil"/>
            </w:tcBorders>
            <w:shd w:val="clear" w:color="auto" w:fill="FFFFFF"/>
            <w:noWrap/>
            <w:tcMar>
              <w:top w:w="15" w:type="dxa"/>
              <w:left w:w="15" w:type="dxa"/>
              <w:right w:w="15" w:type="dxa"/>
            </w:tcMar>
            <w:vAlign w:val="center"/>
          </w:tcPr>
          <w:p w14:paraId="45ED712E">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A51839.0100</w:t>
            </w:r>
          </w:p>
        </w:tc>
        <w:tc>
          <w:tcPr>
            <w:tcW w:w="2930" w:type="dxa"/>
            <w:tcBorders>
              <w:tl2br w:val="nil"/>
              <w:tr2bl w:val="nil"/>
            </w:tcBorders>
            <w:shd w:val="clear" w:color="auto" w:fill="auto"/>
            <w:noWrap/>
            <w:tcMar>
              <w:top w:w="15" w:type="dxa"/>
              <w:left w:w="15" w:type="dxa"/>
              <w:right w:w="15" w:type="dxa"/>
            </w:tcMar>
            <w:vAlign w:val="center"/>
          </w:tcPr>
          <w:p w14:paraId="6CC8C966">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snapToGrid w:val="0"/>
                <w:color w:val="000000"/>
                <w:kern w:val="0"/>
                <w:szCs w:val="21"/>
                <w:lang w:bidi="ar"/>
              </w:rPr>
              <w:t>九通阀至轮边刹车油管</w:t>
            </w:r>
          </w:p>
        </w:tc>
        <w:tc>
          <w:tcPr>
            <w:tcW w:w="577" w:type="dxa"/>
            <w:tcBorders>
              <w:tl2br w:val="nil"/>
              <w:tr2bl w:val="nil"/>
            </w:tcBorders>
            <w:shd w:val="clear" w:color="auto" w:fill="auto"/>
            <w:noWrap/>
            <w:tcMar>
              <w:top w:w="15" w:type="dxa"/>
              <w:left w:w="15" w:type="dxa"/>
              <w:right w:w="15" w:type="dxa"/>
            </w:tcMar>
            <w:vAlign w:val="center"/>
          </w:tcPr>
          <w:p w14:paraId="45D1D7EF">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2</w:t>
            </w:r>
          </w:p>
        </w:tc>
        <w:tc>
          <w:tcPr>
            <w:tcW w:w="1489" w:type="dxa"/>
            <w:tcBorders>
              <w:tl2br w:val="nil"/>
              <w:tr2bl w:val="nil"/>
            </w:tcBorders>
            <w:shd w:val="clear" w:color="auto" w:fill="auto"/>
            <w:noWrap/>
            <w:tcMar>
              <w:top w:w="15" w:type="dxa"/>
              <w:left w:w="15" w:type="dxa"/>
              <w:right w:w="15" w:type="dxa"/>
            </w:tcMar>
            <w:vAlign w:val="center"/>
          </w:tcPr>
          <w:p w14:paraId="5ED37A0D">
            <w:pPr>
              <w:widowControl/>
              <w:jc w:val="center"/>
              <w:rPr>
                <w:rFonts w:ascii="宋体" w:hAnsi="宋体" w:cs="宋体"/>
                <w:color w:val="000000"/>
                <w:szCs w:val="21"/>
              </w:rPr>
            </w:pPr>
          </w:p>
        </w:tc>
        <w:tc>
          <w:tcPr>
            <w:tcW w:w="1529" w:type="dxa"/>
            <w:tcBorders>
              <w:tl2br w:val="nil"/>
              <w:tr2bl w:val="nil"/>
            </w:tcBorders>
            <w:shd w:val="clear" w:color="auto" w:fill="auto"/>
            <w:noWrap/>
            <w:tcMar>
              <w:top w:w="15" w:type="dxa"/>
              <w:left w:w="15" w:type="dxa"/>
              <w:right w:w="15" w:type="dxa"/>
            </w:tcMar>
            <w:vAlign w:val="center"/>
          </w:tcPr>
          <w:p w14:paraId="126E4141">
            <w:pPr>
              <w:widowControl/>
              <w:jc w:val="center"/>
              <w:rPr>
                <w:rFonts w:ascii="宋体" w:hAnsi="宋体" w:cs="宋体"/>
                <w:color w:val="000000"/>
                <w:szCs w:val="21"/>
              </w:rPr>
            </w:pPr>
          </w:p>
        </w:tc>
      </w:tr>
      <w:tr w14:paraId="7591C8F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4F4B2B1F">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7</w:t>
            </w:r>
          </w:p>
        </w:tc>
        <w:tc>
          <w:tcPr>
            <w:tcW w:w="1235" w:type="dxa"/>
            <w:tcBorders>
              <w:tl2br w:val="nil"/>
              <w:tr2bl w:val="nil"/>
            </w:tcBorders>
            <w:shd w:val="clear" w:color="auto" w:fill="auto"/>
            <w:noWrap/>
            <w:tcMar>
              <w:top w:w="15" w:type="dxa"/>
              <w:left w:w="15" w:type="dxa"/>
              <w:right w:w="15" w:type="dxa"/>
            </w:tcMar>
            <w:vAlign w:val="center"/>
          </w:tcPr>
          <w:p w14:paraId="7E754307">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A51837.0230</w:t>
            </w:r>
          </w:p>
        </w:tc>
        <w:tc>
          <w:tcPr>
            <w:tcW w:w="2930" w:type="dxa"/>
            <w:tcBorders>
              <w:tl2br w:val="nil"/>
              <w:tr2bl w:val="nil"/>
            </w:tcBorders>
            <w:shd w:val="clear" w:color="auto" w:fill="auto"/>
            <w:noWrap/>
            <w:tcMar>
              <w:top w:w="15" w:type="dxa"/>
              <w:left w:w="15" w:type="dxa"/>
              <w:right w:w="15" w:type="dxa"/>
            </w:tcMar>
            <w:vAlign w:val="center"/>
          </w:tcPr>
          <w:p w14:paraId="645F2A81">
            <w:pPr>
              <w:widowControl/>
              <w:jc w:val="center"/>
              <w:rPr>
                <w:rFonts w:ascii="宋体" w:hAnsi="宋体" w:cs="宋体"/>
                <w:snapToGrid w:val="0"/>
                <w:color w:val="000000"/>
                <w:kern w:val="0"/>
                <w:szCs w:val="21"/>
                <w:lang w:eastAsia="en-US"/>
              </w:rPr>
            </w:pPr>
            <w:r>
              <w:rPr>
                <w:rFonts w:hint="eastAsia" w:ascii="宋体" w:hAnsi="宋体" w:cs="宋体"/>
                <w:szCs w:val="21"/>
              </w:rPr>
              <w:t>更换</w:t>
            </w:r>
            <w:r>
              <w:rPr>
                <w:rFonts w:hint="eastAsia" w:ascii="宋体" w:hAnsi="宋体" w:cs="宋体"/>
                <w:snapToGrid w:val="0"/>
                <w:color w:val="000000"/>
                <w:kern w:val="0"/>
                <w:szCs w:val="21"/>
                <w:lang w:bidi="ar"/>
              </w:rPr>
              <w:t>脚刹阀回油管</w:t>
            </w:r>
          </w:p>
        </w:tc>
        <w:tc>
          <w:tcPr>
            <w:tcW w:w="577" w:type="dxa"/>
            <w:tcBorders>
              <w:tl2br w:val="nil"/>
              <w:tr2bl w:val="nil"/>
            </w:tcBorders>
            <w:shd w:val="clear" w:color="auto" w:fill="auto"/>
            <w:noWrap/>
            <w:tcMar>
              <w:top w:w="15" w:type="dxa"/>
              <w:left w:w="15" w:type="dxa"/>
              <w:right w:w="15" w:type="dxa"/>
            </w:tcMar>
            <w:vAlign w:val="center"/>
          </w:tcPr>
          <w:p w14:paraId="12B87901">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noWrap/>
            <w:tcMar>
              <w:top w:w="15" w:type="dxa"/>
              <w:left w:w="15" w:type="dxa"/>
              <w:right w:w="15" w:type="dxa"/>
            </w:tcMar>
            <w:vAlign w:val="center"/>
          </w:tcPr>
          <w:p w14:paraId="2400CFB7">
            <w:pPr>
              <w:widowControl/>
              <w:jc w:val="center"/>
              <w:rPr>
                <w:rFonts w:ascii="宋体" w:hAnsi="宋体" w:cs="宋体"/>
                <w:color w:val="000000"/>
                <w:szCs w:val="21"/>
              </w:rPr>
            </w:pPr>
          </w:p>
        </w:tc>
        <w:tc>
          <w:tcPr>
            <w:tcW w:w="1529" w:type="dxa"/>
            <w:tcBorders>
              <w:tl2br w:val="nil"/>
              <w:tr2bl w:val="nil"/>
            </w:tcBorders>
            <w:shd w:val="clear" w:color="auto" w:fill="auto"/>
            <w:noWrap/>
            <w:tcMar>
              <w:top w:w="15" w:type="dxa"/>
              <w:left w:w="15" w:type="dxa"/>
              <w:right w:w="15" w:type="dxa"/>
            </w:tcMar>
            <w:vAlign w:val="center"/>
          </w:tcPr>
          <w:p w14:paraId="5E9F24E4">
            <w:pPr>
              <w:widowControl/>
              <w:jc w:val="center"/>
              <w:rPr>
                <w:rFonts w:ascii="宋体" w:hAnsi="宋体" w:cs="宋体"/>
                <w:color w:val="000000"/>
                <w:szCs w:val="21"/>
              </w:rPr>
            </w:pPr>
          </w:p>
        </w:tc>
      </w:tr>
      <w:tr w14:paraId="254FE77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3BC994F8">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8</w:t>
            </w:r>
          </w:p>
        </w:tc>
        <w:tc>
          <w:tcPr>
            <w:tcW w:w="1235" w:type="dxa"/>
            <w:tcBorders>
              <w:tl2br w:val="nil"/>
              <w:tr2bl w:val="nil"/>
            </w:tcBorders>
            <w:shd w:val="clear" w:color="auto" w:fill="FFFFFF"/>
            <w:noWrap/>
            <w:tcMar>
              <w:top w:w="15" w:type="dxa"/>
              <w:left w:w="15" w:type="dxa"/>
              <w:right w:w="15" w:type="dxa"/>
            </w:tcMar>
            <w:vAlign w:val="center"/>
          </w:tcPr>
          <w:p w14:paraId="627E53A9">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A51837.0320</w:t>
            </w:r>
          </w:p>
        </w:tc>
        <w:tc>
          <w:tcPr>
            <w:tcW w:w="2930" w:type="dxa"/>
            <w:tcBorders>
              <w:tl2br w:val="nil"/>
              <w:tr2bl w:val="nil"/>
            </w:tcBorders>
            <w:shd w:val="clear" w:color="auto" w:fill="auto"/>
            <w:noWrap/>
            <w:tcMar>
              <w:top w:w="15" w:type="dxa"/>
              <w:left w:w="15" w:type="dxa"/>
              <w:right w:w="15" w:type="dxa"/>
            </w:tcMar>
            <w:vAlign w:val="center"/>
          </w:tcPr>
          <w:p w14:paraId="06C1DEE9">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snapToGrid w:val="0"/>
                <w:color w:val="000000"/>
                <w:kern w:val="0"/>
                <w:szCs w:val="21"/>
                <w:lang w:bidi="ar"/>
              </w:rPr>
              <w:t>脚刹阀进油管</w:t>
            </w:r>
          </w:p>
        </w:tc>
        <w:tc>
          <w:tcPr>
            <w:tcW w:w="577" w:type="dxa"/>
            <w:tcBorders>
              <w:tl2br w:val="nil"/>
              <w:tr2bl w:val="nil"/>
            </w:tcBorders>
            <w:shd w:val="clear" w:color="auto" w:fill="auto"/>
            <w:noWrap/>
            <w:tcMar>
              <w:top w:w="15" w:type="dxa"/>
              <w:left w:w="15" w:type="dxa"/>
              <w:right w:w="15" w:type="dxa"/>
            </w:tcMar>
            <w:vAlign w:val="center"/>
          </w:tcPr>
          <w:p w14:paraId="4DA33DC8">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noWrap/>
            <w:tcMar>
              <w:top w:w="15" w:type="dxa"/>
              <w:left w:w="15" w:type="dxa"/>
              <w:right w:w="15" w:type="dxa"/>
            </w:tcMar>
            <w:vAlign w:val="center"/>
          </w:tcPr>
          <w:p w14:paraId="6E9B2DC7">
            <w:pPr>
              <w:widowControl/>
              <w:jc w:val="center"/>
              <w:rPr>
                <w:rFonts w:ascii="宋体" w:hAnsi="宋体" w:cs="宋体"/>
                <w:color w:val="000000"/>
                <w:szCs w:val="21"/>
              </w:rPr>
            </w:pPr>
          </w:p>
        </w:tc>
        <w:tc>
          <w:tcPr>
            <w:tcW w:w="1529" w:type="dxa"/>
            <w:tcBorders>
              <w:tl2br w:val="nil"/>
              <w:tr2bl w:val="nil"/>
            </w:tcBorders>
            <w:shd w:val="clear" w:color="auto" w:fill="auto"/>
            <w:noWrap/>
            <w:tcMar>
              <w:top w:w="15" w:type="dxa"/>
              <w:left w:w="15" w:type="dxa"/>
              <w:right w:w="15" w:type="dxa"/>
            </w:tcMar>
            <w:vAlign w:val="center"/>
          </w:tcPr>
          <w:p w14:paraId="04CF3F68">
            <w:pPr>
              <w:widowControl/>
              <w:jc w:val="center"/>
              <w:rPr>
                <w:rFonts w:ascii="宋体" w:hAnsi="宋体" w:cs="宋体"/>
                <w:color w:val="000000"/>
                <w:szCs w:val="21"/>
              </w:rPr>
            </w:pPr>
          </w:p>
        </w:tc>
      </w:tr>
      <w:tr w14:paraId="221A9E1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5461770B">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9</w:t>
            </w:r>
          </w:p>
        </w:tc>
        <w:tc>
          <w:tcPr>
            <w:tcW w:w="1235" w:type="dxa"/>
            <w:tcBorders>
              <w:tl2br w:val="nil"/>
              <w:tr2bl w:val="nil"/>
            </w:tcBorders>
            <w:shd w:val="clear" w:color="auto" w:fill="auto"/>
            <w:noWrap/>
            <w:tcMar>
              <w:top w:w="15" w:type="dxa"/>
              <w:left w:w="15" w:type="dxa"/>
              <w:right w:w="15" w:type="dxa"/>
            </w:tcMar>
            <w:vAlign w:val="center"/>
          </w:tcPr>
          <w:p w14:paraId="7BB58380">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A51826.0105</w:t>
            </w:r>
          </w:p>
        </w:tc>
        <w:tc>
          <w:tcPr>
            <w:tcW w:w="2930" w:type="dxa"/>
            <w:tcBorders>
              <w:tl2br w:val="nil"/>
              <w:tr2bl w:val="nil"/>
            </w:tcBorders>
            <w:shd w:val="clear" w:color="auto" w:fill="auto"/>
            <w:noWrap/>
            <w:tcMar>
              <w:top w:w="15" w:type="dxa"/>
              <w:left w:w="15" w:type="dxa"/>
              <w:right w:w="15" w:type="dxa"/>
            </w:tcMar>
            <w:vAlign w:val="center"/>
          </w:tcPr>
          <w:p w14:paraId="45C7FBEF">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snapToGrid w:val="0"/>
                <w:color w:val="000000"/>
                <w:kern w:val="0"/>
                <w:szCs w:val="21"/>
                <w:lang w:bidi="ar"/>
              </w:rPr>
              <w:t>手刹进油管</w:t>
            </w:r>
          </w:p>
        </w:tc>
        <w:tc>
          <w:tcPr>
            <w:tcW w:w="577" w:type="dxa"/>
            <w:tcBorders>
              <w:tl2br w:val="nil"/>
              <w:tr2bl w:val="nil"/>
            </w:tcBorders>
            <w:shd w:val="clear" w:color="auto" w:fill="auto"/>
            <w:noWrap/>
            <w:tcMar>
              <w:top w:w="15" w:type="dxa"/>
              <w:left w:w="15" w:type="dxa"/>
              <w:right w:w="15" w:type="dxa"/>
            </w:tcMar>
            <w:vAlign w:val="center"/>
          </w:tcPr>
          <w:p w14:paraId="32F8548A">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noWrap/>
            <w:tcMar>
              <w:top w:w="15" w:type="dxa"/>
              <w:left w:w="15" w:type="dxa"/>
              <w:right w:w="15" w:type="dxa"/>
            </w:tcMar>
            <w:vAlign w:val="center"/>
          </w:tcPr>
          <w:p w14:paraId="25CA1C45">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noWrap/>
            <w:tcMar>
              <w:top w:w="15" w:type="dxa"/>
              <w:left w:w="15" w:type="dxa"/>
              <w:right w:w="15" w:type="dxa"/>
            </w:tcMar>
            <w:vAlign w:val="center"/>
          </w:tcPr>
          <w:p w14:paraId="10D1F42E">
            <w:pPr>
              <w:widowControl/>
              <w:jc w:val="center"/>
              <w:rPr>
                <w:rFonts w:ascii="宋体" w:hAnsi="宋体" w:cs="宋体"/>
                <w:snapToGrid w:val="0"/>
                <w:color w:val="000000"/>
                <w:kern w:val="0"/>
                <w:szCs w:val="21"/>
                <w:lang w:bidi="ar"/>
              </w:rPr>
            </w:pPr>
          </w:p>
        </w:tc>
      </w:tr>
      <w:tr w14:paraId="0570891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246D1AE4">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10</w:t>
            </w:r>
          </w:p>
        </w:tc>
        <w:tc>
          <w:tcPr>
            <w:tcW w:w="1235" w:type="dxa"/>
            <w:tcBorders>
              <w:tl2br w:val="nil"/>
              <w:tr2bl w:val="nil"/>
            </w:tcBorders>
            <w:shd w:val="clear" w:color="auto" w:fill="auto"/>
            <w:noWrap/>
            <w:tcMar>
              <w:top w:w="15" w:type="dxa"/>
              <w:left w:w="15" w:type="dxa"/>
              <w:right w:w="15" w:type="dxa"/>
            </w:tcMar>
            <w:vAlign w:val="center"/>
          </w:tcPr>
          <w:p w14:paraId="2755A13E">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A51841.0325</w:t>
            </w:r>
          </w:p>
        </w:tc>
        <w:tc>
          <w:tcPr>
            <w:tcW w:w="2930" w:type="dxa"/>
            <w:tcBorders>
              <w:tl2br w:val="nil"/>
              <w:tr2bl w:val="nil"/>
            </w:tcBorders>
            <w:shd w:val="clear" w:color="auto" w:fill="auto"/>
            <w:noWrap/>
            <w:tcMar>
              <w:top w:w="15" w:type="dxa"/>
              <w:left w:w="15" w:type="dxa"/>
              <w:right w:w="15" w:type="dxa"/>
            </w:tcMar>
            <w:vAlign w:val="center"/>
          </w:tcPr>
          <w:p w14:paraId="66E56060">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snapToGrid w:val="0"/>
                <w:color w:val="000000"/>
                <w:kern w:val="0"/>
                <w:szCs w:val="21"/>
                <w:lang w:bidi="ar"/>
              </w:rPr>
              <w:t>脚刹阀至九通阀油管</w:t>
            </w:r>
          </w:p>
        </w:tc>
        <w:tc>
          <w:tcPr>
            <w:tcW w:w="577" w:type="dxa"/>
            <w:tcBorders>
              <w:tl2br w:val="nil"/>
              <w:tr2bl w:val="nil"/>
            </w:tcBorders>
            <w:shd w:val="clear" w:color="auto" w:fill="auto"/>
            <w:noWrap/>
            <w:tcMar>
              <w:top w:w="15" w:type="dxa"/>
              <w:left w:w="15" w:type="dxa"/>
              <w:right w:w="15" w:type="dxa"/>
            </w:tcMar>
            <w:vAlign w:val="center"/>
          </w:tcPr>
          <w:p w14:paraId="002C8AD2">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noWrap/>
            <w:tcMar>
              <w:top w:w="15" w:type="dxa"/>
              <w:left w:w="15" w:type="dxa"/>
              <w:right w:w="15" w:type="dxa"/>
            </w:tcMar>
            <w:vAlign w:val="center"/>
          </w:tcPr>
          <w:p w14:paraId="72BDFE92">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noWrap/>
            <w:tcMar>
              <w:top w:w="15" w:type="dxa"/>
              <w:left w:w="15" w:type="dxa"/>
              <w:right w:w="15" w:type="dxa"/>
            </w:tcMar>
            <w:vAlign w:val="center"/>
          </w:tcPr>
          <w:p w14:paraId="19ABBD96">
            <w:pPr>
              <w:widowControl/>
              <w:jc w:val="center"/>
              <w:rPr>
                <w:rFonts w:ascii="宋体" w:hAnsi="宋体" w:cs="宋体"/>
                <w:snapToGrid w:val="0"/>
                <w:color w:val="000000"/>
                <w:kern w:val="0"/>
                <w:szCs w:val="21"/>
                <w:lang w:bidi="ar"/>
              </w:rPr>
            </w:pPr>
          </w:p>
        </w:tc>
      </w:tr>
      <w:tr w14:paraId="04B9AA3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00547BFE">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11</w:t>
            </w:r>
          </w:p>
        </w:tc>
        <w:tc>
          <w:tcPr>
            <w:tcW w:w="1235" w:type="dxa"/>
            <w:tcBorders>
              <w:tl2br w:val="nil"/>
              <w:tr2bl w:val="nil"/>
            </w:tcBorders>
            <w:shd w:val="clear" w:color="auto" w:fill="auto"/>
            <w:noWrap/>
            <w:tcMar>
              <w:top w:w="15" w:type="dxa"/>
              <w:left w:w="15" w:type="dxa"/>
              <w:right w:w="15" w:type="dxa"/>
            </w:tcMar>
            <w:vAlign w:val="center"/>
          </w:tcPr>
          <w:p w14:paraId="2048981D">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A51969.0040</w:t>
            </w:r>
          </w:p>
        </w:tc>
        <w:tc>
          <w:tcPr>
            <w:tcW w:w="2930" w:type="dxa"/>
            <w:tcBorders>
              <w:tl2br w:val="nil"/>
              <w:tr2bl w:val="nil"/>
            </w:tcBorders>
            <w:shd w:val="clear" w:color="auto" w:fill="auto"/>
            <w:noWrap/>
            <w:tcMar>
              <w:top w:w="15" w:type="dxa"/>
              <w:left w:w="15" w:type="dxa"/>
              <w:right w:w="15" w:type="dxa"/>
            </w:tcMar>
            <w:vAlign w:val="center"/>
          </w:tcPr>
          <w:p w14:paraId="1BB3E208">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snapToGrid w:val="0"/>
                <w:color w:val="000000"/>
                <w:kern w:val="0"/>
                <w:szCs w:val="21"/>
                <w:lang w:bidi="ar"/>
              </w:rPr>
              <w:t>副泵至高压滤芯油管</w:t>
            </w:r>
          </w:p>
        </w:tc>
        <w:tc>
          <w:tcPr>
            <w:tcW w:w="577" w:type="dxa"/>
            <w:tcBorders>
              <w:tl2br w:val="nil"/>
              <w:tr2bl w:val="nil"/>
            </w:tcBorders>
            <w:shd w:val="clear" w:color="auto" w:fill="auto"/>
            <w:noWrap/>
            <w:tcMar>
              <w:top w:w="15" w:type="dxa"/>
              <w:left w:w="15" w:type="dxa"/>
              <w:right w:w="15" w:type="dxa"/>
            </w:tcMar>
            <w:vAlign w:val="center"/>
          </w:tcPr>
          <w:p w14:paraId="69FFB5C8">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noWrap/>
            <w:tcMar>
              <w:top w:w="15" w:type="dxa"/>
              <w:left w:w="15" w:type="dxa"/>
              <w:right w:w="15" w:type="dxa"/>
            </w:tcMar>
            <w:vAlign w:val="center"/>
          </w:tcPr>
          <w:p w14:paraId="60295E80">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noWrap/>
            <w:tcMar>
              <w:top w:w="15" w:type="dxa"/>
              <w:left w:w="15" w:type="dxa"/>
              <w:right w:w="15" w:type="dxa"/>
            </w:tcMar>
            <w:vAlign w:val="center"/>
          </w:tcPr>
          <w:p w14:paraId="4D107E4B">
            <w:pPr>
              <w:widowControl/>
              <w:jc w:val="center"/>
              <w:rPr>
                <w:rFonts w:ascii="宋体" w:hAnsi="宋体" w:cs="宋体"/>
                <w:snapToGrid w:val="0"/>
                <w:color w:val="000000"/>
                <w:kern w:val="0"/>
                <w:szCs w:val="21"/>
                <w:lang w:bidi="ar"/>
              </w:rPr>
            </w:pPr>
          </w:p>
        </w:tc>
      </w:tr>
      <w:tr w14:paraId="3D6EE01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1BBD2E01">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12</w:t>
            </w:r>
          </w:p>
        </w:tc>
        <w:tc>
          <w:tcPr>
            <w:tcW w:w="1235" w:type="dxa"/>
            <w:tcBorders>
              <w:tl2br w:val="nil"/>
              <w:tr2bl w:val="nil"/>
            </w:tcBorders>
            <w:shd w:val="clear" w:color="auto" w:fill="auto"/>
            <w:noWrap/>
            <w:tcMar>
              <w:top w:w="15" w:type="dxa"/>
              <w:left w:w="15" w:type="dxa"/>
              <w:right w:w="15" w:type="dxa"/>
            </w:tcMar>
            <w:vAlign w:val="center"/>
          </w:tcPr>
          <w:p w14:paraId="5DF2B058">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A51969.0100</w:t>
            </w:r>
          </w:p>
        </w:tc>
        <w:tc>
          <w:tcPr>
            <w:tcW w:w="2930" w:type="dxa"/>
            <w:tcBorders>
              <w:tl2br w:val="nil"/>
              <w:tr2bl w:val="nil"/>
            </w:tcBorders>
            <w:shd w:val="clear" w:color="auto" w:fill="auto"/>
            <w:noWrap/>
            <w:tcMar>
              <w:top w:w="15" w:type="dxa"/>
              <w:left w:w="15" w:type="dxa"/>
              <w:right w:w="15" w:type="dxa"/>
            </w:tcMar>
            <w:vAlign w:val="center"/>
          </w:tcPr>
          <w:p w14:paraId="6D7536A6">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snapToGrid w:val="0"/>
                <w:color w:val="000000"/>
                <w:kern w:val="0"/>
                <w:szCs w:val="21"/>
                <w:lang w:bidi="ar"/>
              </w:rPr>
              <w:t>蓄能器至手刹阀油管</w:t>
            </w:r>
          </w:p>
        </w:tc>
        <w:tc>
          <w:tcPr>
            <w:tcW w:w="577" w:type="dxa"/>
            <w:tcBorders>
              <w:tl2br w:val="nil"/>
              <w:tr2bl w:val="nil"/>
            </w:tcBorders>
            <w:shd w:val="clear" w:color="auto" w:fill="auto"/>
            <w:noWrap/>
            <w:tcMar>
              <w:top w:w="15" w:type="dxa"/>
              <w:left w:w="15" w:type="dxa"/>
              <w:right w:w="15" w:type="dxa"/>
            </w:tcMar>
            <w:vAlign w:val="center"/>
          </w:tcPr>
          <w:p w14:paraId="68C790E7">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noWrap/>
            <w:tcMar>
              <w:top w:w="15" w:type="dxa"/>
              <w:left w:w="15" w:type="dxa"/>
              <w:right w:w="15" w:type="dxa"/>
            </w:tcMar>
            <w:vAlign w:val="center"/>
          </w:tcPr>
          <w:p w14:paraId="29FA08E1">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noWrap/>
            <w:tcMar>
              <w:top w:w="15" w:type="dxa"/>
              <w:left w:w="15" w:type="dxa"/>
              <w:right w:w="15" w:type="dxa"/>
            </w:tcMar>
            <w:vAlign w:val="center"/>
          </w:tcPr>
          <w:p w14:paraId="38532C52">
            <w:pPr>
              <w:widowControl/>
              <w:jc w:val="center"/>
              <w:rPr>
                <w:rFonts w:ascii="宋体" w:hAnsi="宋体" w:cs="宋体"/>
                <w:snapToGrid w:val="0"/>
                <w:color w:val="000000"/>
                <w:kern w:val="0"/>
                <w:szCs w:val="21"/>
                <w:lang w:bidi="ar"/>
              </w:rPr>
            </w:pPr>
          </w:p>
        </w:tc>
      </w:tr>
      <w:tr w14:paraId="3167182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7EDA7338">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13</w:t>
            </w:r>
          </w:p>
        </w:tc>
        <w:tc>
          <w:tcPr>
            <w:tcW w:w="1235" w:type="dxa"/>
            <w:tcBorders>
              <w:tl2br w:val="nil"/>
              <w:tr2bl w:val="nil"/>
            </w:tcBorders>
            <w:shd w:val="clear" w:color="auto" w:fill="auto"/>
            <w:noWrap/>
            <w:tcMar>
              <w:top w:w="15" w:type="dxa"/>
              <w:left w:w="15" w:type="dxa"/>
              <w:right w:w="15" w:type="dxa"/>
            </w:tcMar>
            <w:vAlign w:val="center"/>
          </w:tcPr>
          <w:p w14:paraId="492F2A46">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A51837.0290</w:t>
            </w:r>
          </w:p>
        </w:tc>
        <w:tc>
          <w:tcPr>
            <w:tcW w:w="2930" w:type="dxa"/>
            <w:vMerge w:val="restart"/>
            <w:tcBorders>
              <w:tl2br w:val="nil"/>
              <w:tr2bl w:val="nil"/>
            </w:tcBorders>
            <w:shd w:val="clear" w:color="auto" w:fill="auto"/>
            <w:noWrap/>
            <w:tcMar>
              <w:top w:w="15" w:type="dxa"/>
              <w:left w:w="15" w:type="dxa"/>
              <w:right w:w="15" w:type="dxa"/>
            </w:tcMar>
            <w:vAlign w:val="center"/>
          </w:tcPr>
          <w:p w14:paraId="4D63DD54">
            <w:pPr>
              <w:jc w:val="center"/>
              <w:rPr>
                <w:rFonts w:ascii="宋体" w:hAnsi="宋体" w:cs="宋体"/>
                <w:snapToGrid w:val="0"/>
                <w:color w:val="000000"/>
                <w:kern w:val="0"/>
                <w:szCs w:val="21"/>
                <w:lang w:eastAsia="en-US"/>
              </w:rPr>
            </w:pPr>
            <w:r>
              <w:rPr>
                <w:rFonts w:hint="eastAsia" w:ascii="宋体" w:hAnsi="宋体" w:cs="宋体"/>
                <w:szCs w:val="21"/>
              </w:rPr>
              <w:t>更换</w:t>
            </w:r>
            <w:r>
              <w:rPr>
                <w:rFonts w:hint="eastAsia" w:ascii="宋体" w:hAnsi="宋体" w:cs="宋体"/>
                <w:color w:val="000000"/>
                <w:szCs w:val="21"/>
              </w:rPr>
              <w:t>伺服制动系统</w:t>
            </w:r>
          </w:p>
        </w:tc>
        <w:tc>
          <w:tcPr>
            <w:tcW w:w="577" w:type="dxa"/>
            <w:vMerge w:val="restart"/>
            <w:tcBorders>
              <w:tl2br w:val="nil"/>
              <w:tr2bl w:val="nil"/>
            </w:tcBorders>
            <w:shd w:val="clear" w:color="auto" w:fill="auto"/>
            <w:noWrap/>
            <w:tcMar>
              <w:top w:w="15" w:type="dxa"/>
              <w:left w:w="15" w:type="dxa"/>
              <w:right w:w="15" w:type="dxa"/>
            </w:tcMar>
            <w:vAlign w:val="center"/>
          </w:tcPr>
          <w:p w14:paraId="1771E8D3">
            <w:pPr>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val="en-US" w:eastAsia="zh-CN" w:bidi="ar"/>
              </w:rPr>
              <w:t>3</w:t>
            </w:r>
          </w:p>
        </w:tc>
        <w:tc>
          <w:tcPr>
            <w:tcW w:w="1489" w:type="dxa"/>
            <w:vMerge w:val="restart"/>
            <w:tcBorders>
              <w:tl2br w:val="nil"/>
              <w:tr2bl w:val="nil"/>
            </w:tcBorders>
            <w:shd w:val="clear" w:color="auto" w:fill="auto"/>
            <w:noWrap/>
            <w:tcMar>
              <w:top w:w="15" w:type="dxa"/>
              <w:left w:w="15" w:type="dxa"/>
              <w:right w:w="15" w:type="dxa"/>
            </w:tcMar>
            <w:vAlign w:val="center"/>
          </w:tcPr>
          <w:p w14:paraId="68392BC1">
            <w:pPr>
              <w:widowControl/>
              <w:jc w:val="center"/>
              <w:rPr>
                <w:rFonts w:ascii="宋体" w:hAnsi="宋体" w:cs="宋体"/>
                <w:snapToGrid w:val="0"/>
                <w:color w:val="000000"/>
                <w:kern w:val="0"/>
                <w:szCs w:val="21"/>
                <w:lang w:bidi="ar"/>
              </w:rPr>
            </w:pPr>
          </w:p>
        </w:tc>
        <w:tc>
          <w:tcPr>
            <w:tcW w:w="1529" w:type="dxa"/>
            <w:vMerge w:val="restart"/>
            <w:tcBorders>
              <w:tl2br w:val="nil"/>
              <w:tr2bl w:val="nil"/>
            </w:tcBorders>
            <w:shd w:val="clear" w:color="auto" w:fill="auto"/>
            <w:noWrap/>
            <w:tcMar>
              <w:top w:w="15" w:type="dxa"/>
              <w:left w:w="15" w:type="dxa"/>
              <w:right w:w="15" w:type="dxa"/>
            </w:tcMar>
            <w:vAlign w:val="center"/>
          </w:tcPr>
          <w:p w14:paraId="76CDB1E5">
            <w:pPr>
              <w:widowControl/>
              <w:jc w:val="center"/>
              <w:rPr>
                <w:rFonts w:ascii="宋体" w:hAnsi="宋体" w:cs="宋体"/>
                <w:snapToGrid w:val="0"/>
                <w:color w:val="000000"/>
                <w:kern w:val="0"/>
                <w:szCs w:val="21"/>
                <w:lang w:bidi="ar"/>
              </w:rPr>
            </w:pPr>
          </w:p>
        </w:tc>
      </w:tr>
      <w:tr w14:paraId="2000AAA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0963EBF2">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14</w:t>
            </w:r>
          </w:p>
        </w:tc>
        <w:tc>
          <w:tcPr>
            <w:tcW w:w="1235" w:type="dxa"/>
            <w:tcBorders>
              <w:tl2br w:val="nil"/>
              <w:tr2bl w:val="nil"/>
            </w:tcBorders>
            <w:shd w:val="clear" w:color="auto" w:fill="auto"/>
            <w:noWrap/>
            <w:tcMar>
              <w:top w:w="15" w:type="dxa"/>
              <w:left w:w="15" w:type="dxa"/>
              <w:right w:w="15" w:type="dxa"/>
            </w:tcMar>
            <w:vAlign w:val="center"/>
          </w:tcPr>
          <w:p w14:paraId="7F70B3EC">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A51837.0320</w:t>
            </w:r>
          </w:p>
        </w:tc>
        <w:tc>
          <w:tcPr>
            <w:tcW w:w="2930" w:type="dxa"/>
            <w:vMerge w:val="continue"/>
            <w:tcBorders>
              <w:tl2br w:val="nil"/>
              <w:tr2bl w:val="nil"/>
            </w:tcBorders>
            <w:shd w:val="clear" w:color="auto" w:fill="auto"/>
            <w:noWrap/>
            <w:tcMar>
              <w:top w:w="15" w:type="dxa"/>
              <w:left w:w="15" w:type="dxa"/>
              <w:right w:w="15" w:type="dxa"/>
            </w:tcMar>
            <w:vAlign w:val="center"/>
          </w:tcPr>
          <w:p w14:paraId="1655CC4D">
            <w:pPr>
              <w:jc w:val="center"/>
              <w:rPr>
                <w:rFonts w:ascii="宋体" w:hAnsi="宋体" w:cs="宋体"/>
                <w:snapToGrid w:val="0"/>
                <w:color w:val="000000"/>
                <w:kern w:val="0"/>
                <w:szCs w:val="21"/>
                <w:lang w:eastAsia="en-US"/>
              </w:rPr>
            </w:pPr>
          </w:p>
        </w:tc>
        <w:tc>
          <w:tcPr>
            <w:tcW w:w="577" w:type="dxa"/>
            <w:vMerge w:val="continue"/>
            <w:tcBorders>
              <w:tl2br w:val="nil"/>
              <w:tr2bl w:val="nil"/>
            </w:tcBorders>
            <w:shd w:val="clear" w:color="auto" w:fill="auto"/>
            <w:noWrap/>
            <w:tcMar>
              <w:top w:w="15" w:type="dxa"/>
              <w:left w:w="15" w:type="dxa"/>
              <w:right w:w="15" w:type="dxa"/>
            </w:tcMar>
            <w:vAlign w:val="center"/>
          </w:tcPr>
          <w:p w14:paraId="5ABCF20F">
            <w:pPr>
              <w:jc w:val="center"/>
              <w:rPr>
                <w:rFonts w:ascii="宋体" w:hAnsi="宋体" w:cs="宋体"/>
                <w:snapToGrid w:val="0"/>
                <w:color w:val="000000"/>
                <w:kern w:val="0"/>
                <w:szCs w:val="21"/>
                <w:lang w:eastAsia="en-US"/>
              </w:rPr>
            </w:pPr>
          </w:p>
        </w:tc>
        <w:tc>
          <w:tcPr>
            <w:tcW w:w="1489" w:type="dxa"/>
            <w:vMerge w:val="continue"/>
            <w:tcBorders>
              <w:tl2br w:val="nil"/>
              <w:tr2bl w:val="nil"/>
            </w:tcBorders>
            <w:shd w:val="clear" w:color="auto" w:fill="auto"/>
            <w:noWrap/>
            <w:tcMar>
              <w:top w:w="15" w:type="dxa"/>
              <w:left w:w="15" w:type="dxa"/>
              <w:right w:w="15" w:type="dxa"/>
            </w:tcMar>
            <w:vAlign w:val="center"/>
          </w:tcPr>
          <w:p w14:paraId="11461073">
            <w:pPr>
              <w:widowControl/>
              <w:jc w:val="center"/>
              <w:rPr>
                <w:rFonts w:ascii="宋体" w:hAnsi="宋体" w:cs="宋体"/>
                <w:snapToGrid w:val="0"/>
                <w:color w:val="000000"/>
                <w:kern w:val="0"/>
                <w:szCs w:val="21"/>
                <w:lang w:bidi="ar"/>
              </w:rPr>
            </w:pPr>
          </w:p>
        </w:tc>
        <w:tc>
          <w:tcPr>
            <w:tcW w:w="1529" w:type="dxa"/>
            <w:vMerge w:val="continue"/>
            <w:tcBorders>
              <w:tl2br w:val="nil"/>
              <w:tr2bl w:val="nil"/>
            </w:tcBorders>
            <w:shd w:val="clear" w:color="auto" w:fill="auto"/>
            <w:noWrap/>
            <w:tcMar>
              <w:top w:w="15" w:type="dxa"/>
              <w:left w:w="15" w:type="dxa"/>
              <w:right w:w="15" w:type="dxa"/>
            </w:tcMar>
            <w:vAlign w:val="center"/>
          </w:tcPr>
          <w:p w14:paraId="0A26C4BD">
            <w:pPr>
              <w:widowControl/>
              <w:jc w:val="center"/>
              <w:rPr>
                <w:rFonts w:ascii="宋体" w:hAnsi="宋体" w:cs="宋体"/>
                <w:snapToGrid w:val="0"/>
                <w:color w:val="000000"/>
                <w:kern w:val="0"/>
                <w:szCs w:val="21"/>
                <w:lang w:bidi="ar"/>
              </w:rPr>
            </w:pPr>
          </w:p>
        </w:tc>
      </w:tr>
      <w:tr w14:paraId="6BA49A0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023DFF12">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15</w:t>
            </w:r>
          </w:p>
        </w:tc>
        <w:tc>
          <w:tcPr>
            <w:tcW w:w="1235" w:type="dxa"/>
            <w:tcBorders>
              <w:tl2br w:val="nil"/>
              <w:tr2bl w:val="nil"/>
            </w:tcBorders>
            <w:shd w:val="clear" w:color="auto" w:fill="auto"/>
            <w:noWrap/>
            <w:tcMar>
              <w:top w:w="15" w:type="dxa"/>
              <w:left w:w="15" w:type="dxa"/>
              <w:right w:w="15" w:type="dxa"/>
            </w:tcMar>
            <w:vAlign w:val="center"/>
          </w:tcPr>
          <w:p w14:paraId="0AAA877B">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A51841.0300</w:t>
            </w:r>
          </w:p>
        </w:tc>
        <w:tc>
          <w:tcPr>
            <w:tcW w:w="2930" w:type="dxa"/>
            <w:vMerge w:val="continue"/>
            <w:tcBorders>
              <w:tl2br w:val="nil"/>
              <w:tr2bl w:val="nil"/>
            </w:tcBorders>
            <w:shd w:val="clear" w:color="auto" w:fill="auto"/>
            <w:noWrap/>
            <w:tcMar>
              <w:top w:w="15" w:type="dxa"/>
              <w:left w:w="15" w:type="dxa"/>
              <w:right w:w="15" w:type="dxa"/>
            </w:tcMar>
            <w:vAlign w:val="center"/>
          </w:tcPr>
          <w:p w14:paraId="79B9AE95">
            <w:pPr>
              <w:jc w:val="center"/>
              <w:rPr>
                <w:rFonts w:ascii="宋体" w:hAnsi="宋体" w:cs="宋体"/>
                <w:snapToGrid w:val="0"/>
                <w:color w:val="000000"/>
                <w:kern w:val="0"/>
                <w:szCs w:val="21"/>
                <w:lang w:eastAsia="en-US"/>
              </w:rPr>
            </w:pPr>
          </w:p>
        </w:tc>
        <w:tc>
          <w:tcPr>
            <w:tcW w:w="577" w:type="dxa"/>
            <w:vMerge w:val="continue"/>
            <w:tcBorders>
              <w:tl2br w:val="nil"/>
              <w:tr2bl w:val="nil"/>
            </w:tcBorders>
            <w:shd w:val="clear" w:color="auto" w:fill="auto"/>
            <w:noWrap/>
            <w:tcMar>
              <w:top w:w="15" w:type="dxa"/>
              <w:left w:w="15" w:type="dxa"/>
              <w:right w:w="15" w:type="dxa"/>
            </w:tcMar>
            <w:vAlign w:val="center"/>
          </w:tcPr>
          <w:p w14:paraId="3384A547">
            <w:pPr>
              <w:widowControl/>
              <w:jc w:val="center"/>
              <w:rPr>
                <w:rFonts w:ascii="宋体" w:hAnsi="宋体" w:cs="宋体"/>
                <w:snapToGrid w:val="0"/>
                <w:color w:val="000000"/>
                <w:kern w:val="0"/>
                <w:szCs w:val="21"/>
                <w:lang w:eastAsia="en-US"/>
              </w:rPr>
            </w:pPr>
          </w:p>
        </w:tc>
        <w:tc>
          <w:tcPr>
            <w:tcW w:w="1489" w:type="dxa"/>
            <w:vMerge w:val="continue"/>
            <w:tcBorders>
              <w:tl2br w:val="nil"/>
              <w:tr2bl w:val="nil"/>
            </w:tcBorders>
            <w:shd w:val="clear" w:color="auto" w:fill="auto"/>
            <w:noWrap/>
            <w:tcMar>
              <w:top w:w="15" w:type="dxa"/>
              <w:left w:w="15" w:type="dxa"/>
              <w:right w:w="15" w:type="dxa"/>
            </w:tcMar>
            <w:vAlign w:val="center"/>
          </w:tcPr>
          <w:p w14:paraId="6B776D39">
            <w:pPr>
              <w:widowControl/>
              <w:jc w:val="center"/>
              <w:rPr>
                <w:rFonts w:ascii="宋体" w:hAnsi="宋体" w:cs="宋体"/>
                <w:snapToGrid w:val="0"/>
                <w:color w:val="000000"/>
                <w:kern w:val="0"/>
                <w:szCs w:val="21"/>
                <w:lang w:bidi="ar"/>
              </w:rPr>
            </w:pPr>
          </w:p>
        </w:tc>
        <w:tc>
          <w:tcPr>
            <w:tcW w:w="1529" w:type="dxa"/>
            <w:vMerge w:val="continue"/>
            <w:tcBorders>
              <w:tl2br w:val="nil"/>
              <w:tr2bl w:val="nil"/>
            </w:tcBorders>
            <w:shd w:val="clear" w:color="auto" w:fill="auto"/>
            <w:noWrap/>
            <w:tcMar>
              <w:top w:w="15" w:type="dxa"/>
              <w:left w:w="15" w:type="dxa"/>
              <w:right w:w="15" w:type="dxa"/>
            </w:tcMar>
            <w:vAlign w:val="center"/>
          </w:tcPr>
          <w:p w14:paraId="25B9AA1B">
            <w:pPr>
              <w:widowControl/>
              <w:jc w:val="center"/>
              <w:rPr>
                <w:rFonts w:ascii="宋体" w:hAnsi="宋体" w:cs="宋体"/>
                <w:snapToGrid w:val="0"/>
                <w:color w:val="000000"/>
                <w:kern w:val="0"/>
                <w:szCs w:val="21"/>
                <w:lang w:bidi="ar"/>
              </w:rPr>
            </w:pPr>
          </w:p>
        </w:tc>
      </w:tr>
      <w:tr w14:paraId="1DB54A9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3C86F12A">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16</w:t>
            </w:r>
          </w:p>
        </w:tc>
        <w:tc>
          <w:tcPr>
            <w:tcW w:w="1235" w:type="dxa"/>
            <w:tcBorders>
              <w:tl2br w:val="nil"/>
              <w:tr2bl w:val="nil"/>
            </w:tcBorders>
            <w:shd w:val="clear" w:color="auto" w:fill="auto"/>
            <w:noWrap/>
            <w:tcMar>
              <w:top w:w="15" w:type="dxa"/>
              <w:left w:w="15" w:type="dxa"/>
              <w:right w:w="15" w:type="dxa"/>
            </w:tcMar>
            <w:vAlign w:val="center"/>
          </w:tcPr>
          <w:p w14:paraId="1F6B33EB">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A51794.0315</w:t>
            </w:r>
          </w:p>
        </w:tc>
        <w:tc>
          <w:tcPr>
            <w:tcW w:w="2930" w:type="dxa"/>
            <w:tcBorders>
              <w:tl2br w:val="nil"/>
              <w:tr2bl w:val="nil"/>
            </w:tcBorders>
            <w:shd w:val="clear" w:color="auto" w:fill="auto"/>
            <w:noWrap/>
            <w:tcMar>
              <w:top w:w="15" w:type="dxa"/>
              <w:left w:w="15" w:type="dxa"/>
              <w:right w:w="15" w:type="dxa"/>
            </w:tcMar>
            <w:vAlign w:val="center"/>
          </w:tcPr>
          <w:p w14:paraId="44A03970">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方向机回油管</w:t>
            </w:r>
          </w:p>
        </w:tc>
        <w:tc>
          <w:tcPr>
            <w:tcW w:w="577" w:type="dxa"/>
            <w:tcBorders>
              <w:tl2br w:val="nil"/>
              <w:tr2bl w:val="nil"/>
            </w:tcBorders>
            <w:shd w:val="clear" w:color="auto" w:fill="auto"/>
            <w:noWrap/>
            <w:tcMar>
              <w:top w:w="15" w:type="dxa"/>
              <w:left w:w="15" w:type="dxa"/>
              <w:right w:w="15" w:type="dxa"/>
            </w:tcMar>
            <w:vAlign w:val="center"/>
          </w:tcPr>
          <w:p w14:paraId="5144AAEE">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noWrap/>
            <w:tcMar>
              <w:top w:w="15" w:type="dxa"/>
              <w:left w:w="15" w:type="dxa"/>
              <w:right w:w="15" w:type="dxa"/>
            </w:tcMar>
            <w:vAlign w:val="center"/>
          </w:tcPr>
          <w:p w14:paraId="4F5B8AC6">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noWrap/>
            <w:tcMar>
              <w:top w:w="15" w:type="dxa"/>
              <w:left w:w="15" w:type="dxa"/>
              <w:right w:w="15" w:type="dxa"/>
            </w:tcMar>
            <w:vAlign w:val="center"/>
          </w:tcPr>
          <w:p w14:paraId="45AF6AD3">
            <w:pPr>
              <w:widowControl/>
              <w:jc w:val="center"/>
              <w:rPr>
                <w:rFonts w:ascii="宋体" w:hAnsi="宋体" w:cs="宋体"/>
                <w:snapToGrid w:val="0"/>
                <w:color w:val="000000"/>
                <w:kern w:val="0"/>
                <w:szCs w:val="21"/>
                <w:lang w:bidi="ar"/>
              </w:rPr>
            </w:pPr>
          </w:p>
        </w:tc>
      </w:tr>
      <w:tr w14:paraId="228384D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2E5EDDAC">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17</w:t>
            </w:r>
          </w:p>
        </w:tc>
        <w:tc>
          <w:tcPr>
            <w:tcW w:w="1235" w:type="dxa"/>
            <w:tcBorders>
              <w:tl2br w:val="nil"/>
              <w:tr2bl w:val="nil"/>
            </w:tcBorders>
            <w:shd w:val="clear" w:color="auto" w:fill="auto"/>
            <w:noWrap/>
            <w:tcMar>
              <w:top w:w="15" w:type="dxa"/>
              <w:left w:w="15" w:type="dxa"/>
              <w:right w:w="15" w:type="dxa"/>
            </w:tcMar>
            <w:vAlign w:val="center"/>
          </w:tcPr>
          <w:p w14:paraId="69CBC7D7">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A51794.0280</w:t>
            </w:r>
          </w:p>
        </w:tc>
        <w:tc>
          <w:tcPr>
            <w:tcW w:w="2930" w:type="dxa"/>
            <w:tcBorders>
              <w:tl2br w:val="nil"/>
              <w:tr2bl w:val="nil"/>
            </w:tcBorders>
            <w:shd w:val="clear" w:color="auto" w:fill="auto"/>
            <w:noWrap/>
            <w:tcMar>
              <w:top w:w="15" w:type="dxa"/>
              <w:left w:w="15" w:type="dxa"/>
              <w:right w:w="15" w:type="dxa"/>
            </w:tcMar>
            <w:vAlign w:val="center"/>
          </w:tcPr>
          <w:p w14:paraId="5650A5A1">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方向机进油管</w:t>
            </w:r>
          </w:p>
        </w:tc>
        <w:tc>
          <w:tcPr>
            <w:tcW w:w="577" w:type="dxa"/>
            <w:tcBorders>
              <w:tl2br w:val="nil"/>
              <w:tr2bl w:val="nil"/>
            </w:tcBorders>
            <w:shd w:val="clear" w:color="auto" w:fill="auto"/>
            <w:noWrap/>
            <w:tcMar>
              <w:top w:w="15" w:type="dxa"/>
              <w:left w:w="15" w:type="dxa"/>
              <w:right w:w="15" w:type="dxa"/>
            </w:tcMar>
            <w:vAlign w:val="center"/>
          </w:tcPr>
          <w:p w14:paraId="58394176">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noWrap/>
            <w:tcMar>
              <w:top w:w="15" w:type="dxa"/>
              <w:left w:w="15" w:type="dxa"/>
              <w:right w:w="15" w:type="dxa"/>
            </w:tcMar>
            <w:vAlign w:val="center"/>
          </w:tcPr>
          <w:p w14:paraId="616B8198">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noWrap/>
            <w:tcMar>
              <w:top w:w="15" w:type="dxa"/>
              <w:left w:w="15" w:type="dxa"/>
              <w:right w:w="15" w:type="dxa"/>
            </w:tcMar>
            <w:vAlign w:val="center"/>
          </w:tcPr>
          <w:p w14:paraId="3D9D7301">
            <w:pPr>
              <w:widowControl/>
              <w:jc w:val="center"/>
              <w:rPr>
                <w:rFonts w:ascii="宋体" w:hAnsi="宋体" w:cs="宋体"/>
                <w:snapToGrid w:val="0"/>
                <w:color w:val="000000"/>
                <w:kern w:val="0"/>
                <w:szCs w:val="21"/>
                <w:lang w:bidi="ar"/>
              </w:rPr>
            </w:pPr>
          </w:p>
        </w:tc>
      </w:tr>
      <w:tr w14:paraId="06FF73F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4B97DD85">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18</w:t>
            </w:r>
          </w:p>
        </w:tc>
        <w:tc>
          <w:tcPr>
            <w:tcW w:w="1235" w:type="dxa"/>
            <w:tcBorders>
              <w:tl2br w:val="nil"/>
              <w:tr2bl w:val="nil"/>
            </w:tcBorders>
            <w:shd w:val="clear" w:color="auto" w:fill="auto"/>
            <w:noWrap/>
            <w:tcMar>
              <w:top w:w="15" w:type="dxa"/>
              <w:left w:w="15" w:type="dxa"/>
              <w:right w:w="15" w:type="dxa"/>
            </w:tcMar>
            <w:vAlign w:val="center"/>
          </w:tcPr>
          <w:p w14:paraId="2B346D95">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A51826.0275</w:t>
            </w:r>
          </w:p>
        </w:tc>
        <w:tc>
          <w:tcPr>
            <w:tcW w:w="2930" w:type="dxa"/>
            <w:tcBorders>
              <w:tl2br w:val="nil"/>
              <w:tr2bl w:val="nil"/>
            </w:tcBorders>
            <w:shd w:val="clear" w:color="auto" w:fill="auto"/>
            <w:noWrap/>
            <w:tcMar>
              <w:top w:w="15" w:type="dxa"/>
              <w:left w:w="15" w:type="dxa"/>
              <w:right w:w="15" w:type="dxa"/>
            </w:tcMar>
            <w:vAlign w:val="center"/>
          </w:tcPr>
          <w:p w14:paraId="1991728B">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方向机控制油管</w:t>
            </w:r>
          </w:p>
        </w:tc>
        <w:tc>
          <w:tcPr>
            <w:tcW w:w="577" w:type="dxa"/>
            <w:tcBorders>
              <w:tl2br w:val="nil"/>
              <w:tr2bl w:val="nil"/>
            </w:tcBorders>
            <w:shd w:val="clear" w:color="auto" w:fill="auto"/>
            <w:noWrap/>
            <w:tcMar>
              <w:top w:w="15" w:type="dxa"/>
              <w:left w:w="15" w:type="dxa"/>
              <w:right w:w="15" w:type="dxa"/>
            </w:tcMar>
            <w:vAlign w:val="center"/>
          </w:tcPr>
          <w:p w14:paraId="45B29958">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noWrap/>
            <w:tcMar>
              <w:top w:w="15" w:type="dxa"/>
              <w:left w:w="15" w:type="dxa"/>
              <w:right w:w="15" w:type="dxa"/>
            </w:tcMar>
            <w:vAlign w:val="center"/>
          </w:tcPr>
          <w:p w14:paraId="07D32A77">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noWrap/>
            <w:tcMar>
              <w:top w:w="15" w:type="dxa"/>
              <w:left w:w="15" w:type="dxa"/>
              <w:right w:w="15" w:type="dxa"/>
            </w:tcMar>
            <w:vAlign w:val="center"/>
          </w:tcPr>
          <w:p w14:paraId="1D17BF08">
            <w:pPr>
              <w:widowControl/>
              <w:jc w:val="center"/>
              <w:rPr>
                <w:rFonts w:ascii="宋体" w:hAnsi="宋体" w:cs="宋体"/>
                <w:snapToGrid w:val="0"/>
                <w:color w:val="000000"/>
                <w:kern w:val="0"/>
                <w:szCs w:val="21"/>
                <w:lang w:bidi="ar"/>
              </w:rPr>
            </w:pPr>
          </w:p>
        </w:tc>
      </w:tr>
      <w:tr w14:paraId="161263C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30878245">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19</w:t>
            </w:r>
          </w:p>
        </w:tc>
        <w:tc>
          <w:tcPr>
            <w:tcW w:w="1235" w:type="dxa"/>
            <w:tcBorders>
              <w:tl2br w:val="nil"/>
              <w:tr2bl w:val="nil"/>
            </w:tcBorders>
            <w:shd w:val="clear" w:color="auto" w:fill="auto"/>
            <w:noWrap/>
            <w:tcMar>
              <w:top w:w="15" w:type="dxa"/>
              <w:left w:w="15" w:type="dxa"/>
              <w:right w:w="15" w:type="dxa"/>
            </w:tcMar>
            <w:vAlign w:val="center"/>
          </w:tcPr>
          <w:p w14:paraId="5982A323">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A51825.0200</w:t>
            </w:r>
          </w:p>
        </w:tc>
        <w:tc>
          <w:tcPr>
            <w:tcW w:w="2930" w:type="dxa"/>
            <w:tcBorders>
              <w:tl2br w:val="nil"/>
              <w:tr2bl w:val="nil"/>
            </w:tcBorders>
            <w:noWrap/>
            <w:tcMar>
              <w:top w:w="15" w:type="dxa"/>
              <w:left w:w="15" w:type="dxa"/>
              <w:right w:w="15" w:type="dxa"/>
            </w:tcMar>
            <w:vAlign w:val="center"/>
          </w:tcPr>
          <w:p w14:paraId="24C0ED88">
            <w:pPr>
              <w:widowControl/>
              <w:jc w:val="center"/>
              <w:rPr>
                <w:rFonts w:ascii="宋体" w:hAnsi="宋体" w:cs="宋体"/>
                <w:color w:val="000000"/>
                <w:szCs w:val="21"/>
              </w:rPr>
            </w:pPr>
            <w:r>
              <w:rPr>
                <w:rFonts w:hint="eastAsia" w:ascii="宋体" w:hAnsi="宋体" w:cs="宋体"/>
                <w:szCs w:val="21"/>
              </w:rPr>
              <w:t>更换</w:t>
            </w:r>
            <w:r>
              <w:rPr>
                <w:rFonts w:hint="eastAsia" w:ascii="宋体" w:hAnsi="宋体" w:cs="宋体"/>
                <w:color w:val="000000"/>
                <w:szCs w:val="21"/>
              </w:rPr>
              <w:t>方向机进油管细</w:t>
            </w:r>
          </w:p>
        </w:tc>
        <w:tc>
          <w:tcPr>
            <w:tcW w:w="577" w:type="dxa"/>
            <w:tcBorders>
              <w:tl2br w:val="nil"/>
              <w:tr2bl w:val="nil"/>
            </w:tcBorders>
            <w:shd w:val="clear" w:color="auto" w:fill="auto"/>
            <w:noWrap/>
            <w:tcMar>
              <w:top w:w="15" w:type="dxa"/>
              <w:left w:w="15" w:type="dxa"/>
              <w:right w:w="15" w:type="dxa"/>
            </w:tcMar>
            <w:vAlign w:val="center"/>
          </w:tcPr>
          <w:p w14:paraId="2E78F8FB">
            <w:pPr>
              <w:widowControl/>
              <w:jc w:val="center"/>
              <w:rPr>
                <w:rFonts w:ascii="宋体" w:hAnsi="宋体" w:cs="宋体"/>
                <w:color w:val="000000"/>
                <w:szCs w:val="21"/>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noWrap/>
            <w:tcMar>
              <w:top w:w="15" w:type="dxa"/>
              <w:left w:w="15" w:type="dxa"/>
              <w:right w:w="15" w:type="dxa"/>
            </w:tcMar>
            <w:vAlign w:val="center"/>
          </w:tcPr>
          <w:p w14:paraId="7F9F1255">
            <w:pPr>
              <w:jc w:val="center"/>
              <w:rPr>
                <w:rFonts w:ascii="宋体" w:hAnsi="宋体" w:cs="宋体"/>
                <w:snapToGrid w:val="0"/>
                <w:color w:val="000000"/>
                <w:kern w:val="0"/>
                <w:szCs w:val="21"/>
                <w:lang w:bidi="ar"/>
              </w:rPr>
            </w:pPr>
          </w:p>
        </w:tc>
        <w:tc>
          <w:tcPr>
            <w:tcW w:w="1529" w:type="dxa"/>
            <w:tcBorders>
              <w:tl2br w:val="nil"/>
              <w:tr2bl w:val="nil"/>
            </w:tcBorders>
            <w:shd w:val="clear" w:color="auto" w:fill="auto"/>
            <w:noWrap/>
            <w:tcMar>
              <w:top w:w="15" w:type="dxa"/>
              <w:left w:w="15" w:type="dxa"/>
              <w:right w:w="15" w:type="dxa"/>
            </w:tcMar>
            <w:vAlign w:val="center"/>
          </w:tcPr>
          <w:p w14:paraId="079FF776">
            <w:pPr>
              <w:jc w:val="center"/>
              <w:rPr>
                <w:rFonts w:ascii="宋体" w:hAnsi="宋体" w:cs="宋体"/>
                <w:snapToGrid w:val="0"/>
                <w:color w:val="000000"/>
                <w:kern w:val="0"/>
                <w:szCs w:val="21"/>
                <w:lang w:bidi="ar"/>
              </w:rPr>
            </w:pPr>
          </w:p>
        </w:tc>
      </w:tr>
      <w:tr w14:paraId="22BC044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22161ED3">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20</w:t>
            </w:r>
          </w:p>
        </w:tc>
        <w:tc>
          <w:tcPr>
            <w:tcW w:w="1235" w:type="dxa"/>
            <w:tcBorders>
              <w:tl2br w:val="nil"/>
              <w:tr2bl w:val="nil"/>
            </w:tcBorders>
            <w:shd w:val="clear" w:color="auto" w:fill="auto"/>
            <w:noWrap/>
            <w:tcMar>
              <w:top w:w="15" w:type="dxa"/>
              <w:left w:w="15" w:type="dxa"/>
              <w:right w:w="15" w:type="dxa"/>
            </w:tcMar>
            <w:vAlign w:val="center"/>
          </w:tcPr>
          <w:p w14:paraId="596CEC20">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A52278.0120</w:t>
            </w:r>
          </w:p>
        </w:tc>
        <w:tc>
          <w:tcPr>
            <w:tcW w:w="2930" w:type="dxa"/>
            <w:tcBorders>
              <w:tl2br w:val="nil"/>
              <w:tr2bl w:val="nil"/>
            </w:tcBorders>
            <w:noWrap/>
            <w:tcMar>
              <w:top w:w="15" w:type="dxa"/>
              <w:left w:w="15" w:type="dxa"/>
              <w:right w:w="15" w:type="dxa"/>
            </w:tcMar>
            <w:vAlign w:val="center"/>
          </w:tcPr>
          <w:p w14:paraId="2585A359">
            <w:pPr>
              <w:widowControl/>
              <w:jc w:val="center"/>
              <w:rPr>
                <w:rFonts w:ascii="宋体" w:hAnsi="宋体" w:cs="宋体"/>
                <w:color w:val="000000"/>
                <w:szCs w:val="21"/>
              </w:rPr>
            </w:pPr>
            <w:r>
              <w:rPr>
                <w:rFonts w:hint="eastAsia" w:ascii="宋体" w:hAnsi="宋体" w:cs="宋体"/>
                <w:szCs w:val="21"/>
              </w:rPr>
              <w:t>更换</w:t>
            </w:r>
            <w:r>
              <w:rPr>
                <w:rFonts w:hint="eastAsia" w:ascii="宋体" w:hAnsi="宋体" w:cs="宋体"/>
                <w:color w:val="000000"/>
                <w:szCs w:val="21"/>
              </w:rPr>
              <w:t>优先阀至多路阀油管</w:t>
            </w:r>
          </w:p>
        </w:tc>
        <w:tc>
          <w:tcPr>
            <w:tcW w:w="577" w:type="dxa"/>
            <w:tcBorders>
              <w:tl2br w:val="nil"/>
              <w:tr2bl w:val="nil"/>
            </w:tcBorders>
            <w:shd w:val="clear" w:color="auto" w:fill="auto"/>
            <w:noWrap/>
            <w:tcMar>
              <w:top w:w="15" w:type="dxa"/>
              <w:left w:w="15" w:type="dxa"/>
              <w:right w:w="15" w:type="dxa"/>
            </w:tcMar>
            <w:vAlign w:val="center"/>
          </w:tcPr>
          <w:p w14:paraId="31B94AB8">
            <w:pPr>
              <w:widowControl/>
              <w:jc w:val="center"/>
              <w:rPr>
                <w:rFonts w:ascii="宋体" w:hAnsi="宋体" w:cs="宋体"/>
                <w:color w:val="000000"/>
                <w:szCs w:val="21"/>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noWrap/>
            <w:tcMar>
              <w:top w:w="15" w:type="dxa"/>
              <w:left w:w="15" w:type="dxa"/>
              <w:right w:w="15" w:type="dxa"/>
            </w:tcMar>
            <w:vAlign w:val="center"/>
          </w:tcPr>
          <w:p w14:paraId="3815504A">
            <w:pPr>
              <w:jc w:val="center"/>
              <w:rPr>
                <w:rFonts w:ascii="宋体" w:hAnsi="宋体" w:cs="宋体"/>
                <w:color w:val="000000"/>
                <w:szCs w:val="21"/>
              </w:rPr>
            </w:pPr>
          </w:p>
        </w:tc>
        <w:tc>
          <w:tcPr>
            <w:tcW w:w="1529" w:type="dxa"/>
            <w:tcBorders>
              <w:tl2br w:val="nil"/>
              <w:tr2bl w:val="nil"/>
            </w:tcBorders>
            <w:shd w:val="clear" w:color="auto" w:fill="auto"/>
            <w:noWrap/>
            <w:tcMar>
              <w:top w:w="15" w:type="dxa"/>
              <w:left w:w="15" w:type="dxa"/>
              <w:right w:w="15" w:type="dxa"/>
            </w:tcMar>
            <w:vAlign w:val="center"/>
          </w:tcPr>
          <w:p w14:paraId="7DBB9953">
            <w:pPr>
              <w:jc w:val="center"/>
              <w:rPr>
                <w:rFonts w:ascii="宋体" w:hAnsi="宋体" w:cs="宋体"/>
                <w:color w:val="000000"/>
                <w:szCs w:val="21"/>
              </w:rPr>
            </w:pPr>
          </w:p>
        </w:tc>
      </w:tr>
      <w:tr w14:paraId="34FC4CE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1AF7CD1C">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21</w:t>
            </w:r>
          </w:p>
        </w:tc>
        <w:tc>
          <w:tcPr>
            <w:tcW w:w="1235" w:type="dxa"/>
            <w:tcBorders>
              <w:tl2br w:val="nil"/>
              <w:tr2bl w:val="nil"/>
            </w:tcBorders>
            <w:shd w:val="clear" w:color="auto" w:fill="auto"/>
            <w:noWrap/>
            <w:tcMar>
              <w:top w:w="15" w:type="dxa"/>
              <w:left w:w="15" w:type="dxa"/>
              <w:right w:w="15" w:type="dxa"/>
            </w:tcMar>
            <w:vAlign w:val="center"/>
          </w:tcPr>
          <w:p w14:paraId="78E98848">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A51821.0205</w:t>
            </w:r>
          </w:p>
        </w:tc>
        <w:tc>
          <w:tcPr>
            <w:tcW w:w="2930" w:type="dxa"/>
            <w:tcBorders>
              <w:tl2br w:val="nil"/>
              <w:tr2bl w:val="nil"/>
            </w:tcBorders>
            <w:noWrap/>
            <w:tcMar>
              <w:top w:w="15" w:type="dxa"/>
              <w:left w:w="15" w:type="dxa"/>
              <w:right w:w="15" w:type="dxa"/>
            </w:tcMar>
            <w:vAlign w:val="center"/>
          </w:tcPr>
          <w:p w14:paraId="2B62ACD4">
            <w:pPr>
              <w:widowControl/>
              <w:jc w:val="center"/>
              <w:rPr>
                <w:rFonts w:ascii="宋体" w:hAnsi="宋体" w:cs="宋体"/>
                <w:color w:val="000000"/>
                <w:szCs w:val="21"/>
              </w:rPr>
            </w:pPr>
            <w:r>
              <w:rPr>
                <w:rFonts w:hint="eastAsia" w:ascii="宋体" w:hAnsi="宋体" w:cs="宋体"/>
                <w:szCs w:val="21"/>
              </w:rPr>
              <w:t>更换</w:t>
            </w:r>
            <w:r>
              <w:rPr>
                <w:rFonts w:hint="eastAsia" w:ascii="宋体" w:hAnsi="宋体" w:cs="宋体"/>
                <w:color w:val="000000"/>
                <w:szCs w:val="21"/>
              </w:rPr>
              <w:t>多路阀回油管</w:t>
            </w:r>
          </w:p>
        </w:tc>
        <w:tc>
          <w:tcPr>
            <w:tcW w:w="577" w:type="dxa"/>
            <w:tcBorders>
              <w:tl2br w:val="nil"/>
              <w:tr2bl w:val="nil"/>
            </w:tcBorders>
            <w:shd w:val="clear" w:color="auto" w:fill="auto"/>
            <w:noWrap/>
            <w:tcMar>
              <w:top w:w="15" w:type="dxa"/>
              <w:left w:w="15" w:type="dxa"/>
              <w:right w:w="15" w:type="dxa"/>
            </w:tcMar>
            <w:vAlign w:val="center"/>
          </w:tcPr>
          <w:p w14:paraId="0EF4D893">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noWrap/>
            <w:tcMar>
              <w:top w:w="15" w:type="dxa"/>
              <w:left w:w="15" w:type="dxa"/>
              <w:right w:w="15" w:type="dxa"/>
            </w:tcMar>
            <w:vAlign w:val="center"/>
          </w:tcPr>
          <w:p w14:paraId="298E1470">
            <w:pPr>
              <w:widowControl/>
              <w:jc w:val="center"/>
              <w:rPr>
                <w:rFonts w:ascii="宋体" w:hAnsi="宋体" w:cs="宋体"/>
                <w:snapToGrid w:val="0"/>
                <w:color w:val="000000"/>
                <w:kern w:val="0"/>
                <w:szCs w:val="21"/>
                <w:lang w:eastAsia="en-US"/>
              </w:rPr>
            </w:pPr>
          </w:p>
        </w:tc>
        <w:tc>
          <w:tcPr>
            <w:tcW w:w="1529" w:type="dxa"/>
            <w:tcBorders>
              <w:tl2br w:val="nil"/>
              <w:tr2bl w:val="nil"/>
            </w:tcBorders>
            <w:shd w:val="clear" w:color="auto" w:fill="auto"/>
            <w:noWrap/>
            <w:tcMar>
              <w:top w:w="15" w:type="dxa"/>
              <w:left w:w="15" w:type="dxa"/>
              <w:right w:w="15" w:type="dxa"/>
            </w:tcMar>
            <w:vAlign w:val="center"/>
          </w:tcPr>
          <w:p w14:paraId="254BE269">
            <w:pPr>
              <w:widowControl/>
              <w:jc w:val="center"/>
              <w:rPr>
                <w:rFonts w:ascii="宋体" w:hAnsi="宋体" w:cs="宋体"/>
                <w:snapToGrid w:val="0"/>
                <w:color w:val="000000"/>
                <w:kern w:val="0"/>
                <w:szCs w:val="21"/>
                <w:lang w:eastAsia="en-US"/>
              </w:rPr>
            </w:pPr>
          </w:p>
        </w:tc>
      </w:tr>
      <w:tr w14:paraId="57863E7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0C4533BA">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22</w:t>
            </w:r>
          </w:p>
        </w:tc>
        <w:tc>
          <w:tcPr>
            <w:tcW w:w="1235" w:type="dxa"/>
            <w:tcBorders>
              <w:tl2br w:val="nil"/>
              <w:tr2bl w:val="nil"/>
            </w:tcBorders>
            <w:shd w:val="clear" w:color="auto" w:fill="auto"/>
            <w:noWrap/>
            <w:tcMar>
              <w:top w:w="15" w:type="dxa"/>
              <w:left w:w="15" w:type="dxa"/>
              <w:right w:w="15" w:type="dxa"/>
            </w:tcMar>
            <w:vAlign w:val="center"/>
          </w:tcPr>
          <w:p w14:paraId="5DF1C8A0">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A51826.0075</w:t>
            </w:r>
          </w:p>
        </w:tc>
        <w:tc>
          <w:tcPr>
            <w:tcW w:w="2930" w:type="dxa"/>
            <w:tcBorders>
              <w:tl2br w:val="nil"/>
              <w:tr2bl w:val="nil"/>
            </w:tcBorders>
            <w:shd w:val="clear" w:color="auto" w:fill="auto"/>
            <w:noWrap/>
            <w:tcMar>
              <w:top w:w="15" w:type="dxa"/>
              <w:left w:w="15" w:type="dxa"/>
              <w:right w:w="15" w:type="dxa"/>
            </w:tcMar>
            <w:vAlign w:val="center"/>
          </w:tcPr>
          <w:p w14:paraId="625EB4EB">
            <w:pPr>
              <w:widowControl/>
              <w:jc w:val="center"/>
              <w:rPr>
                <w:rFonts w:ascii="宋体" w:hAnsi="宋体" w:cs="宋体"/>
                <w:snapToGrid w:val="0"/>
                <w:color w:val="000000"/>
                <w:kern w:val="0"/>
                <w:szCs w:val="21"/>
                <w:lang w:eastAsia="en-US"/>
              </w:rPr>
            </w:pPr>
            <w:r>
              <w:rPr>
                <w:rFonts w:hint="eastAsia" w:ascii="宋体" w:hAnsi="宋体" w:cs="宋体"/>
                <w:szCs w:val="21"/>
              </w:rPr>
              <w:t>更换</w:t>
            </w:r>
            <w:r>
              <w:rPr>
                <w:rFonts w:hint="eastAsia" w:ascii="宋体" w:hAnsi="宋体" w:cs="宋体"/>
                <w:color w:val="000000"/>
                <w:szCs w:val="21"/>
              </w:rPr>
              <w:t>主阀连接控制阀油管</w:t>
            </w:r>
          </w:p>
        </w:tc>
        <w:tc>
          <w:tcPr>
            <w:tcW w:w="577" w:type="dxa"/>
            <w:tcBorders>
              <w:tl2br w:val="nil"/>
              <w:tr2bl w:val="nil"/>
            </w:tcBorders>
            <w:shd w:val="clear" w:color="auto" w:fill="auto"/>
            <w:noWrap/>
            <w:tcMar>
              <w:top w:w="15" w:type="dxa"/>
              <w:left w:w="15" w:type="dxa"/>
              <w:right w:w="15" w:type="dxa"/>
            </w:tcMar>
            <w:vAlign w:val="center"/>
          </w:tcPr>
          <w:p w14:paraId="01722B3A">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noWrap/>
            <w:tcMar>
              <w:top w:w="15" w:type="dxa"/>
              <w:left w:w="15" w:type="dxa"/>
              <w:right w:w="15" w:type="dxa"/>
            </w:tcMar>
            <w:vAlign w:val="center"/>
          </w:tcPr>
          <w:p w14:paraId="44BD3743">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noWrap/>
            <w:tcMar>
              <w:top w:w="15" w:type="dxa"/>
              <w:left w:w="15" w:type="dxa"/>
              <w:right w:w="15" w:type="dxa"/>
            </w:tcMar>
            <w:vAlign w:val="center"/>
          </w:tcPr>
          <w:p w14:paraId="0FE6C64A">
            <w:pPr>
              <w:widowControl/>
              <w:jc w:val="center"/>
              <w:rPr>
                <w:rFonts w:ascii="宋体" w:hAnsi="宋体" w:cs="宋体"/>
                <w:snapToGrid w:val="0"/>
                <w:color w:val="000000"/>
                <w:kern w:val="0"/>
                <w:szCs w:val="21"/>
                <w:lang w:bidi="ar"/>
              </w:rPr>
            </w:pPr>
          </w:p>
        </w:tc>
      </w:tr>
      <w:tr w14:paraId="473759C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03830F67">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23</w:t>
            </w:r>
          </w:p>
        </w:tc>
        <w:tc>
          <w:tcPr>
            <w:tcW w:w="1235" w:type="dxa"/>
            <w:tcBorders>
              <w:tl2br w:val="nil"/>
              <w:tr2bl w:val="nil"/>
            </w:tcBorders>
            <w:shd w:val="clear" w:color="auto" w:fill="auto"/>
            <w:noWrap/>
            <w:tcMar>
              <w:top w:w="15" w:type="dxa"/>
              <w:left w:w="15" w:type="dxa"/>
              <w:right w:w="15" w:type="dxa"/>
            </w:tcMar>
            <w:vAlign w:val="center"/>
          </w:tcPr>
          <w:p w14:paraId="4ABF6786">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A52133.0065</w:t>
            </w:r>
          </w:p>
        </w:tc>
        <w:tc>
          <w:tcPr>
            <w:tcW w:w="2930" w:type="dxa"/>
            <w:tcBorders>
              <w:tl2br w:val="nil"/>
              <w:tr2bl w:val="nil"/>
            </w:tcBorders>
            <w:shd w:val="clear" w:color="auto" w:fill="auto"/>
            <w:noWrap/>
            <w:tcMar>
              <w:top w:w="15" w:type="dxa"/>
              <w:left w:w="15" w:type="dxa"/>
              <w:right w:w="15" w:type="dxa"/>
            </w:tcMar>
            <w:vAlign w:val="center"/>
          </w:tcPr>
          <w:p w14:paraId="15D98905">
            <w:pPr>
              <w:widowControl/>
              <w:jc w:val="center"/>
              <w:rPr>
                <w:rFonts w:ascii="宋体" w:hAnsi="宋体" w:cs="宋体"/>
                <w:snapToGrid w:val="0"/>
                <w:color w:val="000000"/>
                <w:kern w:val="0"/>
                <w:szCs w:val="21"/>
                <w:lang w:eastAsia="en-US"/>
              </w:rPr>
            </w:pPr>
            <w:r>
              <w:rPr>
                <w:rFonts w:hint="eastAsia" w:ascii="宋体" w:hAnsi="宋体" w:cs="宋体"/>
                <w:szCs w:val="21"/>
              </w:rPr>
              <w:t>更换</w:t>
            </w:r>
            <w:r>
              <w:rPr>
                <w:rFonts w:hint="eastAsia" w:ascii="宋体" w:hAnsi="宋体" w:cs="宋体"/>
                <w:color w:val="000000"/>
                <w:szCs w:val="21"/>
              </w:rPr>
              <w:t>液压主泵至油箱油管</w:t>
            </w:r>
          </w:p>
        </w:tc>
        <w:tc>
          <w:tcPr>
            <w:tcW w:w="577" w:type="dxa"/>
            <w:tcBorders>
              <w:tl2br w:val="nil"/>
              <w:tr2bl w:val="nil"/>
            </w:tcBorders>
            <w:shd w:val="clear" w:color="auto" w:fill="auto"/>
            <w:noWrap/>
            <w:tcMar>
              <w:top w:w="15" w:type="dxa"/>
              <w:left w:w="15" w:type="dxa"/>
              <w:right w:w="15" w:type="dxa"/>
            </w:tcMar>
            <w:vAlign w:val="center"/>
          </w:tcPr>
          <w:p w14:paraId="4E6A3FBC">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noWrap/>
            <w:tcMar>
              <w:top w:w="15" w:type="dxa"/>
              <w:left w:w="15" w:type="dxa"/>
              <w:right w:w="15" w:type="dxa"/>
            </w:tcMar>
            <w:vAlign w:val="center"/>
          </w:tcPr>
          <w:p w14:paraId="1F4370F9">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noWrap/>
            <w:tcMar>
              <w:top w:w="15" w:type="dxa"/>
              <w:left w:w="15" w:type="dxa"/>
              <w:right w:w="15" w:type="dxa"/>
            </w:tcMar>
            <w:vAlign w:val="center"/>
          </w:tcPr>
          <w:p w14:paraId="61362661">
            <w:pPr>
              <w:widowControl/>
              <w:jc w:val="center"/>
              <w:rPr>
                <w:rFonts w:ascii="宋体" w:hAnsi="宋体" w:cs="宋体"/>
                <w:snapToGrid w:val="0"/>
                <w:color w:val="000000"/>
                <w:kern w:val="0"/>
                <w:szCs w:val="21"/>
                <w:lang w:bidi="ar"/>
              </w:rPr>
            </w:pPr>
          </w:p>
        </w:tc>
      </w:tr>
      <w:tr w14:paraId="600752A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12B06BFA">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24</w:t>
            </w:r>
          </w:p>
        </w:tc>
        <w:tc>
          <w:tcPr>
            <w:tcW w:w="1235" w:type="dxa"/>
            <w:tcBorders>
              <w:tl2br w:val="nil"/>
              <w:tr2bl w:val="nil"/>
            </w:tcBorders>
            <w:shd w:val="clear" w:color="auto" w:fill="auto"/>
            <w:noWrap/>
            <w:tcMar>
              <w:top w:w="15" w:type="dxa"/>
              <w:left w:w="15" w:type="dxa"/>
              <w:right w:w="15" w:type="dxa"/>
            </w:tcMar>
            <w:vAlign w:val="center"/>
          </w:tcPr>
          <w:p w14:paraId="3F9BC149">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A52133.0073</w:t>
            </w:r>
          </w:p>
        </w:tc>
        <w:tc>
          <w:tcPr>
            <w:tcW w:w="2930" w:type="dxa"/>
            <w:tcBorders>
              <w:tl2br w:val="nil"/>
              <w:tr2bl w:val="nil"/>
            </w:tcBorders>
            <w:shd w:val="clear" w:color="auto" w:fill="auto"/>
            <w:noWrap/>
            <w:tcMar>
              <w:top w:w="15" w:type="dxa"/>
              <w:left w:w="15" w:type="dxa"/>
              <w:right w:w="15" w:type="dxa"/>
            </w:tcMar>
            <w:vAlign w:val="center"/>
          </w:tcPr>
          <w:p w14:paraId="1E535298">
            <w:pPr>
              <w:widowControl/>
              <w:jc w:val="center"/>
              <w:rPr>
                <w:rFonts w:ascii="宋体" w:hAnsi="宋体" w:cs="宋体"/>
                <w:snapToGrid w:val="0"/>
                <w:color w:val="000000"/>
                <w:kern w:val="0"/>
                <w:szCs w:val="21"/>
                <w:lang w:eastAsia="en-US"/>
              </w:rPr>
            </w:pPr>
            <w:r>
              <w:rPr>
                <w:rFonts w:hint="eastAsia" w:ascii="宋体" w:hAnsi="宋体" w:cs="宋体"/>
                <w:szCs w:val="21"/>
              </w:rPr>
              <w:t>更换</w:t>
            </w:r>
            <w:r>
              <w:rPr>
                <w:rFonts w:hint="eastAsia" w:ascii="宋体" w:hAnsi="宋体" w:cs="宋体"/>
                <w:color w:val="000000"/>
                <w:szCs w:val="21"/>
              </w:rPr>
              <w:t>液压主泵至油箱油管</w:t>
            </w:r>
          </w:p>
        </w:tc>
        <w:tc>
          <w:tcPr>
            <w:tcW w:w="577" w:type="dxa"/>
            <w:tcBorders>
              <w:tl2br w:val="nil"/>
              <w:tr2bl w:val="nil"/>
            </w:tcBorders>
            <w:shd w:val="clear" w:color="auto" w:fill="auto"/>
            <w:noWrap/>
            <w:tcMar>
              <w:top w:w="15" w:type="dxa"/>
              <w:left w:w="15" w:type="dxa"/>
              <w:right w:w="15" w:type="dxa"/>
            </w:tcMar>
            <w:vAlign w:val="center"/>
          </w:tcPr>
          <w:p w14:paraId="693754C9">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noWrap/>
            <w:tcMar>
              <w:top w:w="15" w:type="dxa"/>
              <w:left w:w="15" w:type="dxa"/>
              <w:right w:w="15" w:type="dxa"/>
            </w:tcMar>
            <w:vAlign w:val="center"/>
          </w:tcPr>
          <w:p w14:paraId="4267E59D">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noWrap/>
            <w:tcMar>
              <w:top w:w="15" w:type="dxa"/>
              <w:left w:w="15" w:type="dxa"/>
              <w:right w:w="15" w:type="dxa"/>
            </w:tcMar>
            <w:vAlign w:val="center"/>
          </w:tcPr>
          <w:p w14:paraId="4F4F95C7">
            <w:pPr>
              <w:widowControl/>
              <w:jc w:val="center"/>
              <w:rPr>
                <w:rFonts w:ascii="宋体" w:hAnsi="宋体" w:cs="宋体"/>
                <w:snapToGrid w:val="0"/>
                <w:color w:val="000000"/>
                <w:kern w:val="0"/>
                <w:szCs w:val="21"/>
                <w:lang w:bidi="ar"/>
              </w:rPr>
            </w:pPr>
          </w:p>
        </w:tc>
      </w:tr>
      <w:tr w14:paraId="7579C51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5EE81C8D">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25</w:t>
            </w:r>
          </w:p>
        </w:tc>
        <w:tc>
          <w:tcPr>
            <w:tcW w:w="1235" w:type="dxa"/>
            <w:tcBorders>
              <w:tl2br w:val="nil"/>
              <w:tr2bl w:val="nil"/>
            </w:tcBorders>
            <w:shd w:val="clear" w:color="auto" w:fill="auto"/>
            <w:noWrap/>
            <w:tcMar>
              <w:top w:w="15" w:type="dxa"/>
              <w:left w:w="15" w:type="dxa"/>
              <w:right w:w="15" w:type="dxa"/>
            </w:tcMar>
            <w:vAlign w:val="center"/>
          </w:tcPr>
          <w:p w14:paraId="5D8E42E2">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A52129.0070</w:t>
            </w:r>
          </w:p>
        </w:tc>
        <w:tc>
          <w:tcPr>
            <w:tcW w:w="2930" w:type="dxa"/>
            <w:tcBorders>
              <w:tl2br w:val="nil"/>
              <w:tr2bl w:val="nil"/>
            </w:tcBorders>
            <w:shd w:val="clear" w:color="auto" w:fill="auto"/>
            <w:noWrap/>
            <w:tcMar>
              <w:top w:w="15" w:type="dxa"/>
              <w:left w:w="15" w:type="dxa"/>
              <w:right w:w="15" w:type="dxa"/>
            </w:tcMar>
            <w:vAlign w:val="center"/>
          </w:tcPr>
          <w:p w14:paraId="487D1440">
            <w:pPr>
              <w:widowControl/>
              <w:jc w:val="center"/>
              <w:rPr>
                <w:rFonts w:ascii="宋体" w:hAnsi="宋体" w:cs="宋体"/>
                <w:snapToGrid w:val="0"/>
                <w:color w:val="000000"/>
                <w:kern w:val="0"/>
                <w:szCs w:val="21"/>
                <w:lang w:eastAsia="en-US"/>
              </w:rPr>
            </w:pPr>
            <w:r>
              <w:rPr>
                <w:rFonts w:hint="eastAsia" w:ascii="宋体" w:hAnsi="宋体" w:cs="宋体"/>
                <w:szCs w:val="21"/>
              </w:rPr>
              <w:t>更换</w:t>
            </w:r>
            <w:r>
              <w:rPr>
                <w:rFonts w:hint="eastAsia" w:ascii="宋体" w:hAnsi="宋体" w:cs="宋体"/>
                <w:color w:val="000000"/>
                <w:szCs w:val="21"/>
              </w:rPr>
              <w:t>液压刹车泵至油箱油管</w:t>
            </w:r>
          </w:p>
        </w:tc>
        <w:tc>
          <w:tcPr>
            <w:tcW w:w="577" w:type="dxa"/>
            <w:tcBorders>
              <w:tl2br w:val="nil"/>
              <w:tr2bl w:val="nil"/>
            </w:tcBorders>
            <w:shd w:val="clear" w:color="auto" w:fill="auto"/>
            <w:noWrap/>
            <w:tcMar>
              <w:top w:w="15" w:type="dxa"/>
              <w:left w:w="15" w:type="dxa"/>
              <w:right w:w="15" w:type="dxa"/>
            </w:tcMar>
            <w:vAlign w:val="center"/>
          </w:tcPr>
          <w:p w14:paraId="17270141">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noWrap/>
            <w:tcMar>
              <w:top w:w="15" w:type="dxa"/>
              <w:left w:w="15" w:type="dxa"/>
              <w:right w:w="15" w:type="dxa"/>
            </w:tcMar>
            <w:vAlign w:val="center"/>
          </w:tcPr>
          <w:p w14:paraId="516E32C3">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noWrap/>
            <w:tcMar>
              <w:top w:w="15" w:type="dxa"/>
              <w:left w:w="15" w:type="dxa"/>
              <w:right w:w="15" w:type="dxa"/>
            </w:tcMar>
            <w:vAlign w:val="center"/>
          </w:tcPr>
          <w:p w14:paraId="6CA8B695">
            <w:pPr>
              <w:widowControl/>
              <w:jc w:val="center"/>
              <w:rPr>
                <w:rFonts w:ascii="宋体" w:hAnsi="宋体" w:cs="宋体"/>
                <w:snapToGrid w:val="0"/>
                <w:color w:val="000000"/>
                <w:kern w:val="0"/>
                <w:szCs w:val="21"/>
                <w:lang w:bidi="ar"/>
              </w:rPr>
            </w:pPr>
          </w:p>
        </w:tc>
      </w:tr>
      <w:tr w14:paraId="0770C8C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2473E698">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26</w:t>
            </w:r>
          </w:p>
        </w:tc>
        <w:tc>
          <w:tcPr>
            <w:tcW w:w="1235" w:type="dxa"/>
            <w:tcBorders>
              <w:tl2br w:val="nil"/>
              <w:tr2bl w:val="nil"/>
            </w:tcBorders>
            <w:shd w:val="clear" w:color="auto" w:fill="auto"/>
            <w:noWrap/>
            <w:tcMar>
              <w:top w:w="15" w:type="dxa"/>
              <w:left w:w="15" w:type="dxa"/>
              <w:right w:w="15" w:type="dxa"/>
            </w:tcMar>
            <w:vAlign w:val="center"/>
          </w:tcPr>
          <w:p w14:paraId="49C032EE">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A51990.0140</w:t>
            </w:r>
          </w:p>
        </w:tc>
        <w:tc>
          <w:tcPr>
            <w:tcW w:w="2930" w:type="dxa"/>
            <w:tcBorders>
              <w:tl2br w:val="nil"/>
              <w:tr2bl w:val="nil"/>
            </w:tcBorders>
            <w:shd w:val="clear" w:color="auto" w:fill="auto"/>
            <w:noWrap/>
            <w:tcMar>
              <w:top w:w="15" w:type="dxa"/>
              <w:left w:w="15" w:type="dxa"/>
              <w:right w:w="15" w:type="dxa"/>
            </w:tcMar>
            <w:vAlign w:val="center"/>
          </w:tcPr>
          <w:p w14:paraId="6D87E569">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多路阀至油箱油管</w:t>
            </w:r>
          </w:p>
        </w:tc>
        <w:tc>
          <w:tcPr>
            <w:tcW w:w="577" w:type="dxa"/>
            <w:tcBorders>
              <w:tl2br w:val="nil"/>
              <w:tr2bl w:val="nil"/>
            </w:tcBorders>
            <w:shd w:val="clear" w:color="auto" w:fill="auto"/>
            <w:noWrap/>
            <w:tcMar>
              <w:top w:w="15" w:type="dxa"/>
              <w:left w:w="15" w:type="dxa"/>
              <w:right w:w="15" w:type="dxa"/>
            </w:tcMar>
            <w:vAlign w:val="center"/>
          </w:tcPr>
          <w:p w14:paraId="171A616F">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noWrap/>
            <w:tcMar>
              <w:top w:w="15" w:type="dxa"/>
              <w:left w:w="15" w:type="dxa"/>
              <w:right w:w="15" w:type="dxa"/>
            </w:tcMar>
            <w:vAlign w:val="center"/>
          </w:tcPr>
          <w:p w14:paraId="63154BF7">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noWrap/>
            <w:tcMar>
              <w:top w:w="15" w:type="dxa"/>
              <w:left w:w="15" w:type="dxa"/>
              <w:right w:w="15" w:type="dxa"/>
            </w:tcMar>
            <w:vAlign w:val="center"/>
          </w:tcPr>
          <w:p w14:paraId="3E97AA42">
            <w:pPr>
              <w:widowControl/>
              <w:jc w:val="center"/>
              <w:rPr>
                <w:rFonts w:ascii="宋体" w:hAnsi="宋体" w:cs="宋体"/>
                <w:snapToGrid w:val="0"/>
                <w:color w:val="000000"/>
                <w:kern w:val="0"/>
                <w:szCs w:val="21"/>
                <w:lang w:bidi="ar"/>
              </w:rPr>
            </w:pPr>
          </w:p>
        </w:tc>
      </w:tr>
      <w:tr w14:paraId="4FC6B8F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0FDFEFB5">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27</w:t>
            </w:r>
          </w:p>
        </w:tc>
        <w:tc>
          <w:tcPr>
            <w:tcW w:w="1235" w:type="dxa"/>
            <w:tcBorders>
              <w:tl2br w:val="nil"/>
              <w:tr2bl w:val="nil"/>
            </w:tcBorders>
            <w:shd w:val="clear" w:color="auto" w:fill="auto"/>
            <w:noWrap/>
            <w:tcMar>
              <w:top w:w="15" w:type="dxa"/>
              <w:left w:w="15" w:type="dxa"/>
              <w:right w:w="15" w:type="dxa"/>
            </w:tcMar>
            <w:vAlign w:val="center"/>
          </w:tcPr>
          <w:p w14:paraId="60788B97">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A51990.0125</w:t>
            </w:r>
          </w:p>
        </w:tc>
        <w:tc>
          <w:tcPr>
            <w:tcW w:w="2930" w:type="dxa"/>
            <w:tcBorders>
              <w:tl2br w:val="nil"/>
              <w:tr2bl w:val="nil"/>
            </w:tcBorders>
            <w:shd w:val="clear" w:color="auto" w:fill="auto"/>
            <w:noWrap/>
            <w:tcMar>
              <w:top w:w="15" w:type="dxa"/>
              <w:left w:w="15" w:type="dxa"/>
              <w:right w:w="15" w:type="dxa"/>
            </w:tcMar>
            <w:vAlign w:val="center"/>
          </w:tcPr>
          <w:p w14:paraId="191B4106">
            <w:pPr>
              <w:widowControl/>
              <w:jc w:val="center"/>
              <w:rPr>
                <w:rFonts w:ascii="宋体" w:hAnsi="宋体" w:cs="宋体"/>
                <w:snapToGrid w:val="0"/>
                <w:color w:val="000000"/>
                <w:kern w:val="0"/>
                <w:szCs w:val="21"/>
                <w:lang w:eastAsia="en-US"/>
              </w:rPr>
            </w:pPr>
            <w:r>
              <w:rPr>
                <w:rFonts w:hint="eastAsia" w:ascii="宋体" w:hAnsi="宋体" w:cs="宋体"/>
                <w:szCs w:val="21"/>
              </w:rPr>
              <w:t>更换</w:t>
            </w:r>
            <w:r>
              <w:rPr>
                <w:rFonts w:hint="eastAsia" w:ascii="宋体" w:hAnsi="宋体" w:cs="宋体"/>
                <w:color w:val="000000"/>
                <w:szCs w:val="21"/>
              </w:rPr>
              <w:t>液压刹车泵至油箱油管</w:t>
            </w:r>
          </w:p>
        </w:tc>
        <w:tc>
          <w:tcPr>
            <w:tcW w:w="577" w:type="dxa"/>
            <w:tcBorders>
              <w:tl2br w:val="nil"/>
              <w:tr2bl w:val="nil"/>
            </w:tcBorders>
            <w:shd w:val="clear" w:color="auto" w:fill="auto"/>
            <w:noWrap/>
            <w:tcMar>
              <w:top w:w="15" w:type="dxa"/>
              <w:left w:w="15" w:type="dxa"/>
              <w:right w:w="15" w:type="dxa"/>
            </w:tcMar>
            <w:vAlign w:val="center"/>
          </w:tcPr>
          <w:p w14:paraId="582C9904">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noWrap/>
            <w:tcMar>
              <w:top w:w="15" w:type="dxa"/>
              <w:left w:w="15" w:type="dxa"/>
              <w:right w:w="15" w:type="dxa"/>
            </w:tcMar>
            <w:vAlign w:val="center"/>
          </w:tcPr>
          <w:p w14:paraId="70F5F06C">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noWrap/>
            <w:tcMar>
              <w:top w:w="15" w:type="dxa"/>
              <w:left w:w="15" w:type="dxa"/>
              <w:right w:w="15" w:type="dxa"/>
            </w:tcMar>
            <w:vAlign w:val="center"/>
          </w:tcPr>
          <w:p w14:paraId="4C1F423D">
            <w:pPr>
              <w:widowControl/>
              <w:jc w:val="center"/>
              <w:rPr>
                <w:rFonts w:ascii="宋体" w:hAnsi="宋体" w:cs="宋体"/>
                <w:snapToGrid w:val="0"/>
                <w:color w:val="000000"/>
                <w:kern w:val="0"/>
                <w:szCs w:val="21"/>
                <w:lang w:bidi="ar"/>
              </w:rPr>
            </w:pPr>
          </w:p>
        </w:tc>
      </w:tr>
      <w:tr w14:paraId="20DD25B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4FFD96EF">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28</w:t>
            </w:r>
          </w:p>
        </w:tc>
        <w:tc>
          <w:tcPr>
            <w:tcW w:w="1235" w:type="dxa"/>
            <w:tcBorders>
              <w:tl2br w:val="nil"/>
              <w:tr2bl w:val="nil"/>
            </w:tcBorders>
            <w:shd w:val="clear" w:color="auto" w:fill="auto"/>
            <w:noWrap/>
            <w:tcMar>
              <w:top w:w="15" w:type="dxa"/>
              <w:left w:w="15" w:type="dxa"/>
              <w:right w:w="15" w:type="dxa"/>
            </w:tcMar>
            <w:vAlign w:val="center"/>
          </w:tcPr>
          <w:p w14:paraId="5805D18A">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A51826.0180</w:t>
            </w:r>
          </w:p>
        </w:tc>
        <w:tc>
          <w:tcPr>
            <w:tcW w:w="2930" w:type="dxa"/>
            <w:tcBorders>
              <w:tl2br w:val="nil"/>
              <w:tr2bl w:val="nil"/>
            </w:tcBorders>
            <w:shd w:val="clear" w:color="auto" w:fill="auto"/>
            <w:noWrap/>
            <w:tcMar>
              <w:top w:w="15" w:type="dxa"/>
              <w:left w:w="15" w:type="dxa"/>
              <w:right w:w="15" w:type="dxa"/>
            </w:tcMar>
            <w:vAlign w:val="center"/>
          </w:tcPr>
          <w:p w14:paraId="65517D7F">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多路阀至油箱油管</w:t>
            </w:r>
          </w:p>
        </w:tc>
        <w:tc>
          <w:tcPr>
            <w:tcW w:w="577" w:type="dxa"/>
            <w:tcBorders>
              <w:tl2br w:val="nil"/>
              <w:tr2bl w:val="nil"/>
            </w:tcBorders>
            <w:shd w:val="clear" w:color="auto" w:fill="auto"/>
            <w:noWrap/>
            <w:tcMar>
              <w:top w:w="15" w:type="dxa"/>
              <w:left w:w="15" w:type="dxa"/>
              <w:right w:w="15" w:type="dxa"/>
            </w:tcMar>
            <w:vAlign w:val="center"/>
          </w:tcPr>
          <w:p w14:paraId="6EC65945">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noWrap/>
            <w:tcMar>
              <w:top w:w="15" w:type="dxa"/>
              <w:left w:w="15" w:type="dxa"/>
              <w:right w:w="15" w:type="dxa"/>
            </w:tcMar>
            <w:vAlign w:val="center"/>
          </w:tcPr>
          <w:p w14:paraId="5A46ACCB">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noWrap/>
            <w:tcMar>
              <w:top w:w="15" w:type="dxa"/>
              <w:left w:w="15" w:type="dxa"/>
              <w:right w:w="15" w:type="dxa"/>
            </w:tcMar>
            <w:vAlign w:val="center"/>
          </w:tcPr>
          <w:p w14:paraId="73FE3D6D">
            <w:pPr>
              <w:widowControl/>
              <w:jc w:val="center"/>
              <w:rPr>
                <w:rFonts w:ascii="宋体" w:hAnsi="宋体" w:cs="宋体"/>
                <w:snapToGrid w:val="0"/>
                <w:color w:val="000000"/>
                <w:kern w:val="0"/>
                <w:szCs w:val="21"/>
                <w:lang w:bidi="ar"/>
              </w:rPr>
            </w:pPr>
          </w:p>
        </w:tc>
      </w:tr>
      <w:tr w14:paraId="3CE82FC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3E4D5913">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29</w:t>
            </w:r>
          </w:p>
        </w:tc>
        <w:tc>
          <w:tcPr>
            <w:tcW w:w="1235" w:type="dxa"/>
            <w:tcBorders>
              <w:tl2br w:val="nil"/>
              <w:tr2bl w:val="nil"/>
            </w:tcBorders>
            <w:shd w:val="clear" w:color="auto" w:fill="auto"/>
            <w:tcMar>
              <w:top w:w="15" w:type="dxa"/>
              <w:left w:w="15" w:type="dxa"/>
              <w:right w:w="15" w:type="dxa"/>
            </w:tcMar>
            <w:vAlign w:val="center"/>
          </w:tcPr>
          <w:p w14:paraId="24828D17">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A52212.0140</w:t>
            </w:r>
          </w:p>
        </w:tc>
        <w:tc>
          <w:tcPr>
            <w:tcW w:w="2930" w:type="dxa"/>
            <w:tcBorders>
              <w:tl2br w:val="nil"/>
              <w:tr2bl w:val="nil"/>
            </w:tcBorders>
            <w:shd w:val="clear" w:color="auto" w:fill="auto"/>
            <w:noWrap/>
            <w:tcMar>
              <w:top w:w="15" w:type="dxa"/>
              <w:left w:w="15" w:type="dxa"/>
              <w:right w:w="15" w:type="dxa"/>
            </w:tcMar>
            <w:vAlign w:val="center"/>
          </w:tcPr>
          <w:p w14:paraId="223DD1F8">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液压泵至多路阀进油管</w:t>
            </w:r>
          </w:p>
        </w:tc>
        <w:tc>
          <w:tcPr>
            <w:tcW w:w="577" w:type="dxa"/>
            <w:tcBorders>
              <w:tl2br w:val="nil"/>
              <w:tr2bl w:val="nil"/>
            </w:tcBorders>
            <w:shd w:val="clear" w:color="auto" w:fill="auto"/>
            <w:tcMar>
              <w:top w:w="15" w:type="dxa"/>
              <w:left w:w="15" w:type="dxa"/>
              <w:right w:w="15" w:type="dxa"/>
            </w:tcMar>
            <w:vAlign w:val="center"/>
          </w:tcPr>
          <w:p w14:paraId="73BEB519">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tcMar>
              <w:top w:w="15" w:type="dxa"/>
              <w:left w:w="15" w:type="dxa"/>
              <w:right w:w="15" w:type="dxa"/>
            </w:tcMar>
            <w:vAlign w:val="center"/>
          </w:tcPr>
          <w:p w14:paraId="69807884">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tcMar>
              <w:top w:w="15" w:type="dxa"/>
              <w:left w:w="15" w:type="dxa"/>
              <w:right w:w="15" w:type="dxa"/>
            </w:tcMar>
            <w:vAlign w:val="center"/>
          </w:tcPr>
          <w:p w14:paraId="01E946B7">
            <w:pPr>
              <w:widowControl/>
              <w:jc w:val="center"/>
              <w:rPr>
                <w:rFonts w:ascii="宋体" w:hAnsi="宋体" w:cs="宋体"/>
                <w:snapToGrid w:val="0"/>
                <w:color w:val="000000"/>
                <w:kern w:val="0"/>
                <w:szCs w:val="21"/>
                <w:lang w:bidi="ar"/>
              </w:rPr>
            </w:pPr>
          </w:p>
        </w:tc>
      </w:tr>
      <w:tr w14:paraId="7A02FC9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4530555B">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30</w:t>
            </w:r>
          </w:p>
        </w:tc>
        <w:tc>
          <w:tcPr>
            <w:tcW w:w="1235" w:type="dxa"/>
            <w:tcBorders>
              <w:tl2br w:val="nil"/>
              <w:tr2bl w:val="nil"/>
            </w:tcBorders>
            <w:shd w:val="clear" w:color="auto" w:fill="auto"/>
            <w:tcMar>
              <w:top w:w="15" w:type="dxa"/>
              <w:left w:w="15" w:type="dxa"/>
              <w:right w:w="15" w:type="dxa"/>
            </w:tcMar>
            <w:vAlign w:val="center"/>
          </w:tcPr>
          <w:p w14:paraId="609DE8F2">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A52278.0095</w:t>
            </w:r>
          </w:p>
        </w:tc>
        <w:tc>
          <w:tcPr>
            <w:tcW w:w="2930" w:type="dxa"/>
            <w:tcBorders>
              <w:tl2br w:val="nil"/>
              <w:tr2bl w:val="nil"/>
            </w:tcBorders>
            <w:shd w:val="clear" w:color="auto" w:fill="auto"/>
            <w:noWrap/>
            <w:tcMar>
              <w:top w:w="15" w:type="dxa"/>
              <w:left w:w="15" w:type="dxa"/>
              <w:right w:w="15" w:type="dxa"/>
            </w:tcMar>
            <w:vAlign w:val="center"/>
          </w:tcPr>
          <w:p w14:paraId="3AE2FE7F">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液压副泵至优先阀进油管</w:t>
            </w:r>
          </w:p>
        </w:tc>
        <w:tc>
          <w:tcPr>
            <w:tcW w:w="577" w:type="dxa"/>
            <w:tcBorders>
              <w:tl2br w:val="nil"/>
              <w:tr2bl w:val="nil"/>
            </w:tcBorders>
            <w:shd w:val="clear" w:color="auto" w:fill="auto"/>
            <w:tcMar>
              <w:top w:w="15" w:type="dxa"/>
              <w:left w:w="15" w:type="dxa"/>
              <w:right w:w="15" w:type="dxa"/>
            </w:tcMar>
            <w:vAlign w:val="center"/>
          </w:tcPr>
          <w:p w14:paraId="339D2A6B">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tcMar>
              <w:top w:w="15" w:type="dxa"/>
              <w:left w:w="15" w:type="dxa"/>
              <w:right w:w="15" w:type="dxa"/>
            </w:tcMar>
            <w:vAlign w:val="center"/>
          </w:tcPr>
          <w:p w14:paraId="10EE9FD8">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tcMar>
              <w:top w:w="15" w:type="dxa"/>
              <w:left w:w="15" w:type="dxa"/>
              <w:right w:w="15" w:type="dxa"/>
            </w:tcMar>
            <w:vAlign w:val="center"/>
          </w:tcPr>
          <w:p w14:paraId="77CBBD65">
            <w:pPr>
              <w:widowControl/>
              <w:jc w:val="center"/>
              <w:rPr>
                <w:rFonts w:ascii="宋体" w:hAnsi="宋体" w:cs="宋体"/>
                <w:snapToGrid w:val="0"/>
                <w:color w:val="000000"/>
                <w:kern w:val="0"/>
                <w:szCs w:val="21"/>
                <w:lang w:bidi="ar"/>
              </w:rPr>
            </w:pPr>
          </w:p>
        </w:tc>
      </w:tr>
      <w:tr w14:paraId="51498A1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7F85AEED">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31</w:t>
            </w:r>
          </w:p>
        </w:tc>
        <w:tc>
          <w:tcPr>
            <w:tcW w:w="1235" w:type="dxa"/>
            <w:tcBorders>
              <w:tl2br w:val="nil"/>
              <w:tr2bl w:val="nil"/>
            </w:tcBorders>
            <w:shd w:val="clear" w:color="auto" w:fill="auto"/>
            <w:tcMar>
              <w:top w:w="15" w:type="dxa"/>
              <w:left w:w="15" w:type="dxa"/>
              <w:right w:w="15" w:type="dxa"/>
            </w:tcMar>
            <w:vAlign w:val="center"/>
          </w:tcPr>
          <w:p w14:paraId="6AD2305B">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A51794.0080</w:t>
            </w:r>
          </w:p>
        </w:tc>
        <w:tc>
          <w:tcPr>
            <w:tcW w:w="2930" w:type="dxa"/>
            <w:tcBorders>
              <w:tl2br w:val="nil"/>
              <w:tr2bl w:val="nil"/>
            </w:tcBorders>
            <w:shd w:val="clear" w:color="auto" w:fill="auto"/>
            <w:noWrap/>
            <w:tcMar>
              <w:top w:w="15" w:type="dxa"/>
              <w:left w:w="15" w:type="dxa"/>
              <w:right w:w="15" w:type="dxa"/>
            </w:tcMar>
            <w:vAlign w:val="center"/>
          </w:tcPr>
          <w:p w14:paraId="3245E093">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多路阀至门架进油管3A4B</w:t>
            </w:r>
          </w:p>
        </w:tc>
        <w:tc>
          <w:tcPr>
            <w:tcW w:w="577" w:type="dxa"/>
            <w:tcBorders>
              <w:tl2br w:val="nil"/>
              <w:tr2bl w:val="nil"/>
            </w:tcBorders>
            <w:shd w:val="clear" w:color="auto" w:fill="auto"/>
            <w:tcMar>
              <w:top w:w="15" w:type="dxa"/>
              <w:left w:w="15" w:type="dxa"/>
              <w:right w:w="15" w:type="dxa"/>
            </w:tcMar>
            <w:vAlign w:val="center"/>
          </w:tcPr>
          <w:p w14:paraId="4FE30EB0">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2</w:t>
            </w:r>
          </w:p>
        </w:tc>
        <w:tc>
          <w:tcPr>
            <w:tcW w:w="1489" w:type="dxa"/>
            <w:tcBorders>
              <w:tl2br w:val="nil"/>
              <w:tr2bl w:val="nil"/>
            </w:tcBorders>
            <w:shd w:val="clear" w:color="auto" w:fill="auto"/>
            <w:tcMar>
              <w:top w:w="15" w:type="dxa"/>
              <w:left w:w="15" w:type="dxa"/>
              <w:right w:w="15" w:type="dxa"/>
            </w:tcMar>
            <w:vAlign w:val="center"/>
          </w:tcPr>
          <w:p w14:paraId="1970020A">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tcMar>
              <w:top w:w="15" w:type="dxa"/>
              <w:left w:w="15" w:type="dxa"/>
              <w:right w:w="15" w:type="dxa"/>
            </w:tcMar>
            <w:vAlign w:val="center"/>
          </w:tcPr>
          <w:p w14:paraId="2DFCF13C">
            <w:pPr>
              <w:widowControl/>
              <w:jc w:val="center"/>
              <w:rPr>
                <w:rFonts w:ascii="宋体" w:hAnsi="宋体" w:cs="宋体"/>
                <w:snapToGrid w:val="0"/>
                <w:color w:val="000000"/>
                <w:kern w:val="0"/>
                <w:szCs w:val="21"/>
                <w:lang w:bidi="ar"/>
              </w:rPr>
            </w:pPr>
          </w:p>
        </w:tc>
      </w:tr>
      <w:tr w14:paraId="349BE4B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5BDB6AF3">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32</w:t>
            </w:r>
          </w:p>
        </w:tc>
        <w:tc>
          <w:tcPr>
            <w:tcW w:w="1235" w:type="dxa"/>
            <w:tcBorders>
              <w:tl2br w:val="nil"/>
              <w:tr2bl w:val="nil"/>
            </w:tcBorders>
            <w:shd w:val="clear" w:color="auto" w:fill="auto"/>
            <w:tcMar>
              <w:top w:w="15" w:type="dxa"/>
              <w:left w:w="15" w:type="dxa"/>
              <w:right w:w="15" w:type="dxa"/>
            </w:tcMar>
            <w:vAlign w:val="center"/>
          </w:tcPr>
          <w:p w14:paraId="714E9404">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A51794.0095</w:t>
            </w:r>
          </w:p>
        </w:tc>
        <w:tc>
          <w:tcPr>
            <w:tcW w:w="2930" w:type="dxa"/>
            <w:tcBorders>
              <w:tl2br w:val="nil"/>
              <w:tr2bl w:val="nil"/>
            </w:tcBorders>
            <w:shd w:val="clear" w:color="auto" w:fill="auto"/>
            <w:noWrap/>
            <w:tcMar>
              <w:top w:w="15" w:type="dxa"/>
              <w:left w:w="15" w:type="dxa"/>
              <w:right w:w="15" w:type="dxa"/>
            </w:tcMar>
            <w:vAlign w:val="center"/>
          </w:tcPr>
          <w:p w14:paraId="5A740FDA">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多路阀至门架进油管3B</w:t>
            </w:r>
          </w:p>
        </w:tc>
        <w:tc>
          <w:tcPr>
            <w:tcW w:w="577" w:type="dxa"/>
            <w:tcBorders>
              <w:tl2br w:val="nil"/>
              <w:tr2bl w:val="nil"/>
            </w:tcBorders>
            <w:shd w:val="clear" w:color="auto" w:fill="auto"/>
            <w:tcMar>
              <w:top w:w="15" w:type="dxa"/>
              <w:left w:w="15" w:type="dxa"/>
              <w:right w:w="15" w:type="dxa"/>
            </w:tcMar>
            <w:vAlign w:val="center"/>
          </w:tcPr>
          <w:p w14:paraId="3D160DC3">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tcMar>
              <w:top w:w="15" w:type="dxa"/>
              <w:left w:w="15" w:type="dxa"/>
              <w:right w:w="15" w:type="dxa"/>
            </w:tcMar>
            <w:vAlign w:val="center"/>
          </w:tcPr>
          <w:p w14:paraId="1F0F45A6">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tcMar>
              <w:top w:w="15" w:type="dxa"/>
              <w:left w:w="15" w:type="dxa"/>
              <w:right w:w="15" w:type="dxa"/>
            </w:tcMar>
            <w:vAlign w:val="center"/>
          </w:tcPr>
          <w:p w14:paraId="7A81E2FD">
            <w:pPr>
              <w:widowControl/>
              <w:jc w:val="center"/>
              <w:rPr>
                <w:rFonts w:ascii="宋体" w:hAnsi="宋体" w:cs="宋体"/>
                <w:snapToGrid w:val="0"/>
                <w:color w:val="000000"/>
                <w:kern w:val="0"/>
                <w:szCs w:val="21"/>
                <w:lang w:bidi="ar"/>
              </w:rPr>
            </w:pPr>
          </w:p>
        </w:tc>
      </w:tr>
      <w:tr w14:paraId="5380C951">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37A4D61E">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33</w:t>
            </w:r>
          </w:p>
        </w:tc>
        <w:tc>
          <w:tcPr>
            <w:tcW w:w="1235" w:type="dxa"/>
            <w:tcBorders>
              <w:tl2br w:val="nil"/>
              <w:tr2bl w:val="nil"/>
            </w:tcBorders>
            <w:shd w:val="clear" w:color="auto" w:fill="auto"/>
            <w:tcMar>
              <w:top w:w="15" w:type="dxa"/>
              <w:left w:w="15" w:type="dxa"/>
              <w:right w:w="15" w:type="dxa"/>
            </w:tcMar>
            <w:vAlign w:val="center"/>
          </w:tcPr>
          <w:p w14:paraId="3E67082C">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A51794.0070</w:t>
            </w:r>
          </w:p>
        </w:tc>
        <w:tc>
          <w:tcPr>
            <w:tcW w:w="2930" w:type="dxa"/>
            <w:tcBorders>
              <w:tl2br w:val="nil"/>
              <w:tr2bl w:val="nil"/>
            </w:tcBorders>
            <w:shd w:val="clear" w:color="auto" w:fill="auto"/>
            <w:noWrap/>
            <w:tcMar>
              <w:top w:w="15" w:type="dxa"/>
              <w:left w:w="15" w:type="dxa"/>
              <w:right w:w="15" w:type="dxa"/>
            </w:tcMar>
            <w:vAlign w:val="center"/>
          </w:tcPr>
          <w:p w14:paraId="3EAC70F9">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多路阀至门架进油管4A</w:t>
            </w:r>
          </w:p>
        </w:tc>
        <w:tc>
          <w:tcPr>
            <w:tcW w:w="577" w:type="dxa"/>
            <w:tcBorders>
              <w:tl2br w:val="nil"/>
              <w:tr2bl w:val="nil"/>
            </w:tcBorders>
            <w:shd w:val="clear" w:color="auto" w:fill="auto"/>
            <w:tcMar>
              <w:top w:w="15" w:type="dxa"/>
              <w:left w:w="15" w:type="dxa"/>
              <w:right w:w="15" w:type="dxa"/>
            </w:tcMar>
            <w:vAlign w:val="center"/>
          </w:tcPr>
          <w:p w14:paraId="3369E14E">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tcMar>
              <w:top w:w="15" w:type="dxa"/>
              <w:left w:w="15" w:type="dxa"/>
              <w:right w:w="15" w:type="dxa"/>
            </w:tcMar>
            <w:vAlign w:val="center"/>
          </w:tcPr>
          <w:p w14:paraId="0BF9027F">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tcMar>
              <w:top w:w="15" w:type="dxa"/>
              <w:left w:w="15" w:type="dxa"/>
              <w:right w:w="15" w:type="dxa"/>
            </w:tcMar>
            <w:vAlign w:val="center"/>
          </w:tcPr>
          <w:p w14:paraId="5549E41A">
            <w:pPr>
              <w:widowControl/>
              <w:jc w:val="center"/>
              <w:rPr>
                <w:rFonts w:ascii="宋体" w:hAnsi="宋体" w:cs="宋体"/>
                <w:snapToGrid w:val="0"/>
                <w:color w:val="000000"/>
                <w:kern w:val="0"/>
                <w:szCs w:val="21"/>
                <w:lang w:bidi="ar"/>
              </w:rPr>
            </w:pPr>
          </w:p>
        </w:tc>
      </w:tr>
      <w:tr w14:paraId="554A33E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1B43EA8C">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34</w:t>
            </w:r>
          </w:p>
        </w:tc>
        <w:tc>
          <w:tcPr>
            <w:tcW w:w="1235" w:type="dxa"/>
            <w:tcBorders>
              <w:tl2br w:val="nil"/>
              <w:tr2bl w:val="nil"/>
            </w:tcBorders>
            <w:shd w:val="clear" w:color="auto" w:fill="auto"/>
            <w:tcMar>
              <w:top w:w="15" w:type="dxa"/>
              <w:left w:w="15" w:type="dxa"/>
              <w:right w:w="15" w:type="dxa"/>
            </w:tcMar>
            <w:vAlign w:val="center"/>
          </w:tcPr>
          <w:p w14:paraId="23C7ADB8">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A51795.0185</w:t>
            </w:r>
          </w:p>
        </w:tc>
        <w:tc>
          <w:tcPr>
            <w:tcW w:w="2930" w:type="dxa"/>
            <w:tcBorders>
              <w:tl2br w:val="nil"/>
              <w:tr2bl w:val="nil"/>
            </w:tcBorders>
            <w:shd w:val="clear" w:color="auto" w:fill="auto"/>
            <w:noWrap/>
            <w:tcMar>
              <w:top w:w="15" w:type="dxa"/>
              <w:left w:w="15" w:type="dxa"/>
              <w:right w:w="15" w:type="dxa"/>
            </w:tcMar>
            <w:vAlign w:val="center"/>
          </w:tcPr>
          <w:p w14:paraId="5F544991">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门架至溢流阀进油管</w:t>
            </w:r>
          </w:p>
        </w:tc>
        <w:tc>
          <w:tcPr>
            <w:tcW w:w="577" w:type="dxa"/>
            <w:tcBorders>
              <w:tl2br w:val="nil"/>
              <w:tr2bl w:val="nil"/>
            </w:tcBorders>
            <w:shd w:val="clear" w:color="auto" w:fill="auto"/>
            <w:tcMar>
              <w:top w:w="15" w:type="dxa"/>
              <w:left w:w="15" w:type="dxa"/>
              <w:right w:w="15" w:type="dxa"/>
            </w:tcMar>
            <w:vAlign w:val="center"/>
          </w:tcPr>
          <w:p w14:paraId="3DD49198">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tcMar>
              <w:top w:w="15" w:type="dxa"/>
              <w:left w:w="15" w:type="dxa"/>
              <w:right w:w="15" w:type="dxa"/>
            </w:tcMar>
            <w:vAlign w:val="center"/>
          </w:tcPr>
          <w:p w14:paraId="2713B19C">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tcMar>
              <w:top w:w="15" w:type="dxa"/>
              <w:left w:w="15" w:type="dxa"/>
              <w:right w:w="15" w:type="dxa"/>
            </w:tcMar>
            <w:vAlign w:val="center"/>
          </w:tcPr>
          <w:p w14:paraId="14D29CB8">
            <w:pPr>
              <w:widowControl/>
              <w:jc w:val="center"/>
              <w:rPr>
                <w:rFonts w:ascii="宋体" w:hAnsi="宋体" w:cs="宋体"/>
                <w:snapToGrid w:val="0"/>
                <w:color w:val="000000"/>
                <w:kern w:val="0"/>
                <w:szCs w:val="21"/>
                <w:lang w:bidi="ar"/>
              </w:rPr>
            </w:pPr>
          </w:p>
        </w:tc>
      </w:tr>
      <w:tr w14:paraId="56D3566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4B97DBC3">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35</w:t>
            </w:r>
          </w:p>
        </w:tc>
        <w:tc>
          <w:tcPr>
            <w:tcW w:w="1235" w:type="dxa"/>
            <w:tcBorders>
              <w:tl2br w:val="nil"/>
              <w:tr2bl w:val="nil"/>
            </w:tcBorders>
            <w:shd w:val="clear" w:color="auto" w:fill="auto"/>
            <w:tcMar>
              <w:top w:w="15" w:type="dxa"/>
              <w:left w:w="15" w:type="dxa"/>
              <w:right w:w="15" w:type="dxa"/>
            </w:tcMar>
            <w:vAlign w:val="center"/>
          </w:tcPr>
          <w:p w14:paraId="370542FF">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A51795.0050</w:t>
            </w:r>
          </w:p>
        </w:tc>
        <w:tc>
          <w:tcPr>
            <w:tcW w:w="2930" w:type="dxa"/>
            <w:tcBorders>
              <w:tl2br w:val="nil"/>
              <w:tr2bl w:val="nil"/>
            </w:tcBorders>
            <w:shd w:val="clear" w:color="auto" w:fill="auto"/>
            <w:noWrap/>
            <w:tcMar>
              <w:top w:w="15" w:type="dxa"/>
              <w:left w:w="15" w:type="dxa"/>
              <w:right w:w="15" w:type="dxa"/>
            </w:tcMar>
            <w:vAlign w:val="center"/>
          </w:tcPr>
          <w:p w14:paraId="51D85018">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起升油缸通管</w:t>
            </w:r>
          </w:p>
        </w:tc>
        <w:tc>
          <w:tcPr>
            <w:tcW w:w="577" w:type="dxa"/>
            <w:tcBorders>
              <w:tl2br w:val="nil"/>
              <w:tr2bl w:val="nil"/>
            </w:tcBorders>
            <w:shd w:val="clear" w:color="auto" w:fill="auto"/>
            <w:tcMar>
              <w:top w:w="15" w:type="dxa"/>
              <w:left w:w="15" w:type="dxa"/>
              <w:right w:w="15" w:type="dxa"/>
            </w:tcMar>
            <w:vAlign w:val="center"/>
          </w:tcPr>
          <w:p w14:paraId="5CFC926B">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tcMar>
              <w:top w:w="15" w:type="dxa"/>
              <w:left w:w="15" w:type="dxa"/>
              <w:right w:w="15" w:type="dxa"/>
            </w:tcMar>
            <w:vAlign w:val="center"/>
          </w:tcPr>
          <w:p w14:paraId="370D6264">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tcMar>
              <w:top w:w="15" w:type="dxa"/>
              <w:left w:w="15" w:type="dxa"/>
              <w:right w:w="15" w:type="dxa"/>
            </w:tcMar>
            <w:vAlign w:val="center"/>
          </w:tcPr>
          <w:p w14:paraId="4FA845B4">
            <w:pPr>
              <w:widowControl/>
              <w:jc w:val="center"/>
              <w:rPr>
                <w:rFonts w:ascii="宋体" w:hAnsi="宋体" w:cs="宋体"/>
                <w:snapToGrid w:val="0"/>
                <w:color w:val="000000"/>
                <w:kern w:val="0"/>
                <w:szCs w:val="21"/>
                <w:lang w:bidi="ar"/>
              </w:rPr>
            </w:pPr>
          </w:p>
        </w:tc>
      </w:tr>
      <w:tr w14:paraId="10833A8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1E91C536">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36</w:t>
            </w:r>
          </w:p>
        </w:tc>
        <w:tc>
          <w:tcPr>
            <w:tcW w:w="1235" w:type="dxa"/>
            <w:tcBorders>
              <w:tl2br w:val="nil"/>
              <w:tr2bl w:val="nil"/>
            </w:tcBorders>
            <w:shd w:val="clear" w:color="auto" w:fill="auto"/>
            <w:tcMar>
              <w:top w:w="15" w:type="dxa"/>
              <w:left w:w="15" w:type="dxa"/>
              <w:right w:w="15" w:type="dxa"/>
            </w:tcMar>
            <w:vAlign w:val="center"/>
          </w:tcPr>
          <w:p w14:paraId="2128B0DA">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A51795.0065</w:t>
            </w:r>
          </w:p>
        </w:tc>
        <w:tc>
          <w:tcPr>
            <w:tcW w:w="2930" w:type="dxa"/>
            <w:tcBorders>
              <w:tl2br w:val="nil"/>
              <w:tr2bl w:val="nil"/>
            </w:tcBorders>
            <w:shd w:val="clear" w:color="auto" w:fill="auto"/>
            <w:noWrap/>
            <w:tcMar>
              <w:top w:w="15" w:type="dxa"/>
              <w:left w:w="15" w:type="dxa"/>
              <w:right w:w="15" w:type="dxa"/>
            </w:tcMar>
            <w:vAlign w:val="center"/>
          </w:tcPr>
          <w:p w14:paraId="205CFE6F">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起升溢流阀至起升油缸油管</w:t>
            </w:r>
          </w:p>
        </w:tc>
        <w:tc>
          <w:tcPr>
            <w:tcW w:w="577" w:type="dxa"/>
            <w:tcBorders>
              <w:tl2br w:val="nil"/>
              <w:tr2bl w:val="nil"/>
            </w:tcBorders>
            <w:shd w:val="clear" w:color="auto" w:fill="auto"/>
            <w:tcMar>
              <w:top w:w="15" w:type="dxa"/>
              <w:left w:w="15" w:type="dxa"/>
              <w:right w:w="15" w:type="dxa"/>
            </w:tcMar>
            <w:vAlign w:val="center"/>
          </w:tcPr>
          <w:p w14:paraId="5F3FAAD7">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tcMar>
              <w:top w:w="15" w:type="dxa"/>
              <w:left w:w="15" w:type="dxa"/>
              <w:right w:w="15" w:type="dxa"/>
            </w:tcMar>
            <w:vAlign w:val="center"/>
          </w:tcPr>
          <w:p w14:paraId="7CC725C2">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tcMar>
              <w:top w:w="15" w:type="dxa"/>
              <w:left w:w="15" w:type="dxa"/>
              <w:right w:w="15" w:type="dxa"/>
            </w:tcMar>
            <w:vAlign w:val="center"/>
          </w:tcPr>
          <w:p w14:paraId="4EBF13A4">
            <w:pPr>
              <w:widowControl/>
              <w:jc w:val="center"/>
              <w:rPr>
                <w:rFonts w:ascii="宋体" w:hAnsi="宋体" w:cs="宋体"/>
                <w:snapToGrid w:val="0"/>
                <w:color w:val="000000"/>
                <w:kern w:val="0"/>
                <w:szCs w:val="21"/>
                <w:lang w:bidi="ar"/>
              </w:rPr>
            </w:pPr>
          </w:p>
        </w:tc>
      </w:tr>
      <w:tr w14:paraId="222777A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311959F7">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37</w:t>
            </w:r>
          </w:p>
        </w:tc>
        <w:tc>
          <w:tcPr>
            <w:tcW w:w="1235" w:type="dxa"/>
            <w:tcBorders>
              <w:tl2br w:val="nil"/>
              <w:tr2bl w:val="nil"/>
            </w:tcBorders>
            <w:shd w:val="clear" w:color="auto" w:fill="auto"/>
            <w:tcMar>
              <w:top w:w="15" w:type="dxa"/>
              <w:left w:w="15" w:type="dxa"/>
              <w:right w:w="15" w:type="dxa"/>
            </w:tcMar>
            <w:vAlign w:val="center"/>
          </w:tcPr>
          <w:p w14:paraId="629893E1">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A51795.0195</w:t>
            </w:r>
          </w:p>
        </w:tc>
        <w:tc>
          <w:tcPr>
            <w:tcW w:w="2930" w:type="dxa"/>
            <w:tcBorders>
              <w:tl2br w:val="nil"/>
              <w:tr2bl w:val="nil"/>
            </w:tcBorders>
            <w:shd w:val="clear" w:color="auto" w:fill="auto"/>
            <w:noWrap/>
            <w:tcMar>
              <w:top w:w="15" w:type="dxa"/>
              <w:left w:w="15" w:type="dxa"/>
              <w:right w:w="15" w:type="dxa"/>
            </w:tcMar>
            <w:vAlign w:val="center"/>
          </w:tcPr>
          <w:p w14:paraId="0E3AFF4D">
            <w:pPr>
              <w:widowControl/>
              <w:jc w:val="center"/>
              <w:rPr>
                <w:rFonts w:ascii="宋体" w:hAnsi="宋体" w:cs="宋体"/>
                <w:snapToGrid w:val="0"/>
                <w:color w:val="000000"/>
                <w:kern w:val="0"/>
                <w:szCs w:val="21"/>
                <w:lang w:eastAsia="en-US"/>
              </w:rPr>
            </w:pPr>
            <w:r>
              <w:rPr>
                <w:rFonts w:hint="eastAsia" w:ascii="宋体" w:hAnsi="宋体" w:cs="宋体"/>
                <w:szCs w:val="21"/>
              </w:rPr>
              <w:t>更换</w:t>
            </w:r>
            <w:r>
              <w:rPr>
                <w:rFonts w:hint="eastAsia" w:ascii="宋体" w:hAnsi="宋体" w:cs="宋体"/>
                <w:color w:val="000000"/>
                <w:szCs w:val="21"/>
              </w:rPr>
              <w:t>门架至溢流阀三通油管</w:t>
            </w:r>
          </w:p>
        </w:tc>
        <w:tc>
          <w:tcPr>
            <w:tcW w:w="577" w:type="dxa"/>
            <w:tcBorders>
              <w:tl2br w:val="nil"/>
              <w:tr2bl w:val="nil"/>
            </w:tcBorders>
            <w:shd w:val="clear" w:color="auto" w:fill="auto"/>
            <w:tcMar>
              <w:top w:w="15" w:type="dxa"/>
              <w:left w:w="15" w:type="dxa"/>
              <w:right w:w="15" w:type="dxa"/>
            </w:tcMar>
            <w:vAlign w:val="center"/>
          </w:tcPr>
          <w:p w14:paraId="2328FC4C">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tcMar>
              <w:top w:w="15" w:type="dxa"/>
              <w:left w:w="15" w:type="dxa"/>
              <w:right w:w="15" w:type="dxa"/>
            </w:tcMar>
            <w:vAlign w:val="center"/>
          </w:tcPr>
          <w:p w14:paraId="281DB8C1">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tcMar>
              <w:top w:w="15" w:type="dxa"/>
              <w:left w:w="15" w:type="dxa"/>
              <w:right w:w="15" w:type="dxa"/>
            </w:tcMar>
            <w:vAlign w:val="center"/>
          </w:tcPr>
          <w:p w14:paraId="39898F7B">
            <w:pPr>
              <w:widowControl/>
              <w:jc w:val="center"/>
              <w:rPr>
                <w:rFonts w:ascii="宋体" w:hAnsi="宋体" w:cs="宋体"/>
                <w:snapToGrid w:val="0"/>
                <w:color w:val="000000"/>
                <w:kern w:val="0"/>
                <w:szCs w:val="21"/>
                <w:lang w:bidi="ar"/>
              </w:rPr>
            </w:pPr>
          </w:p>
        </w:tc>
      </w:tr>
      <w:tr w14:paraId="1527B11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373466BD">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38</w:t>
            </w:r>
          </w:p>
        </w:tc>
        <w:tc>
          <w:tcPr>
            <w:tcW w:w="1235" w:type="dxa"/>
            <w:tcBorders>
              <w:tl2br w:val="nil"/>
              <w:tr2bl w:val="nil"/>
            </w:tcBorders>
            <w:shd w:val="clear" w:color="auto" w:fill="auto"/>
            <w:tcMar>
              <w:top w:w="15" w:type="dxa"/>
              <w:left w:w="15" w:type="dxa"/>
              <w:right w:w="15" w:type="dxa"/>
            </w:tcMar>
            <w:vAlign w:val="center"/>
          </w:tcPr>
          <w:p w14:paraId="6B23074A">
            <w:pPr>
              <w:widowControl/>
              <w:jc w:val="center"/>
              <w:rPr>
                <w:rFonts w:ascii="宋体" w:hAnsi="宋体" w:cs="宋体"/>
                <w:snapToGrid w:val="0"/>
                <w:color w:val="000000"/>
                <w:kern w:val="0"/>
                <w:szCs w:val="21"/>
              </w:rPr>
            </w:pPr>
            <w:r>
              <w:rPr>
                <w:rFonts w:hint="eastAsia" w:ascii="宋体" w:hAnsi="宋体" w:cs="宋体"/>
                <w:snapToGrid w:val="0"/>
                <w:color w:val="000000"/>
                <w:kern w:val="0"/>
                <w:szCs w:val="21"/>
                <w:lang w:bidi="ar"/>
              </w:rPr>
              <w:t>A51795.0120</w:t>
            </w:r>
          </w:p>
        </w:tc>
        <w:tc>
          <w:tcPr>
            <w:tcW w:w="2930" w:type="dxa"/>
            <w:tcBorders>
              <w:tl2br w:val="nil"/>
              <w:tr2bl w:val="nil"/>
            </w:tcBorders>
            <w:shd w:val="clear" w:color="auto" w:fill="auto"/>
            <w:noWrap/>
            <w:tcMar>
              <w:top w:w="15" w:type="dxa"/>
              <w:left w:w="15" w:type="dxa"/>
              <w:right w:w="15" w:type="dxa"/>
            </w:tcMar>
            <w:vAlign w:val="center"/>
          </w:tcPr>
          <w:p w14:paraId="27811D10">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起升溢流阀至起升油缸油管</w:t>
            </w:r>
          </w:p>
        </w:tc>
        <w:tc>
          <w:tcPr>
            <w:tcW w:w="577" w:type="dxa"/>
            <w:tcBorders>
              <w:tl2br w:val="nil"/>
              <w:tr2bl w:val="nil"/>
            </w:tcBorders>
            <w:shd w:val="clear" w:color="auto" w:fill="auto"/>
            <w:tcMar>
              <w:top w:w="15" w:type="dxa"/>
              <w:left w:w="15" w:type="dxa"/>
              <w:right w:w="15" w:type="dxa"/>
            </w:tcMar>
            <w:vAlign w:val="center"/>
          </w:tcPr>
          <w:p w14:paraId="5A40E7D1">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tcMar>
              <w:top w:w="15" w:type="dxa"/>
              <w:left w:w="15" w:type="dxa"/>
              <w:right w:w="15" w:type="dxa"/>
            </w:tcMar>
            <w:vAlign w:val="center"/>
          </w:tcPr>
          <w:p w14:paraId="59A433E2">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tcMar>
              <w:top w:w="15" w:type="dxa"/>
              <w:left w:w="15" w:type="dxa"/>
              <w:right w:w="15" w:type="dxa"/>
            </w:tcMar>
            <w:vAlign w:val="center"/>
          </w:tcPr>
          <w:p w14:paraId="24621A1B">
            <w:pPr>
              <w:widowControl/>
              <w:jc w:val="center"/>
              <w:rPr>
                <w:rFonts w:ascii="宋体" w:hAnsi="宋体" w:cs="宋体"/>
                <w:snapToGrid w:val="0"/>
                <w:color w:val="000000"/>
                <w:kern w:val="0"/>
                <w:szCs w:val="21"/>
                <w:lang w:bidi="ar"/>
              </w:rPr>
            </w:pPr>
          </w:p>
        </w:tc>
      </w:tr>
      <w:tr w14:paraId="26F1722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6E615C32">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39</w:t>
            </w:r>
          </w:p>
        </w:tc>
        <w:tc>
          <w:tcPr>
            <w:tcW w:w="1235" w:type="dxa"/>
            <w:tcBorders>
              <w:tl2br w:val="nil"/>
              <w:tr2bl w:val="nil"/>
            </w:tcBorders>
            <w:shd w:val="clear" w:color="auto" w:fill="auto"/>
            <w:tcMar>
              <w:top w:w="15" w:type="dxa"/>
              <w:left w:w="15" w:type="dxa"/>
              <w:right w:w="15" w:type="dxa"/>
            </w:tcMar>
            <w:vAlign w:val="center"/>
          </w:tcPr>
          <w:p w14:paraId="47CF9FCD">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A51795.0160</w:t>
            </w:r>
          </w:p>
        </w:tc>
        <w:tc>
          <w:tcPr>
            <w:tcW w:w="2930" w:type="dxa"/>
            <w:tcBorders>
              <w:tl2br w:val="nil"/>
              <w:tr2bl w:val="nil"/>
            </w:tcBorders>
            <w:shd w:val="clear" w:color="auto" w:fill="auto"/>
            <w:noWrap/>
            <w:tcMar>
              <w:top w:w="15" w:type="dxa"/>
              <w:left w:w="15" w:type="dxa"/>
              <w:right w:w="15" w:type="dxa"/>
            </w:tcMar>
            <w:vAlign w:val="center"/>
          </w:tcPr>
          <w:p w14:paraId="084D4F0E">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门架至起升油缸回油三通油管</w:t>
            </w:r>
          </w:p>
        </w:tc>
        <w:tc>
          <w:tcPr>
            <w:tcW w:w="577" w:type="dxa"/>
            <w:tcBorders>
              <w:tl2br w:val="nil"/>
              <w:tr2bl w:val="nil"/>
            </w:tcBorders>
            <w:shd w:val="clear" w:color="auto" w:fill="auto"/>
            <w:tcMar>
              <w:top w:w="15" w:type="dxa"/>
              <w:left w:w="15" w:type="dxa"/>
              <w:right w:w="15" w:type="dxa"/>
            </w:tcMar>
            <w:vAlign w:val="center"/>
          </w:tcPr>
          <w:p w14:paraId="69A08325">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tcMar>
              <w:top w:w="15" w:type="dxa"/>
              <w:left w:w="15" w:type="dxa"/>
              <w:right w:w="15" w:type="dxa"/>
            </w:tcMar>
            <w:vAlign w:val="center"/>
          </w:tcPr>
          <w:p w14:paraId="12F9417F">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tcMar>
              <w:top w:w="15" w:type="dxa"/>
              <w:left w:w="15" w:type="dxa"/>
              <w:right w:w="15" w:type="dxa"/>
            </w:tcMar>
            <w:vAlign w:val="center"/>
          </w:tcPr>
          <w:p w14:paraId="062C5364">
            <w:pPr>
              <w:widowControl/>
              <w:jc w:val="center"/>
              <w:rPr>
                <w:rFonts w:ascii="宋体" w:hAnsi="宋体" w:cs="宋体"/>
                <w:snapToGrid w:val="0"/>
                <w:color w:val="000000"/>
                <w:kern w:val="0"/>
                <w:szCs w:val="21"/>
                <w:lang w:bidi="ar"/>
              </w:rPr>
            </w:pPr>
          </w:p>
        </w:tc>
      </w:tr>
      <w:tr w14:paraId="1138318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47E5DD9F">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40</w:t>
            </w:r>
          </w:p>
        </w:tc>
        <w:tc>
          <w:tcPr>
            <w:tcW w:w="1235" w:type="dxa"/>
            <w:tcBorders>
              <w:tl2br w:val="nil"/>
              <w:tr2bl w:val="nil"/>
            </w:tcBorders>
            <w:shd w:val="clear" w:color="auto" w:fill="auto"/>
            <w:tcMar>
              <w:top w:w="15" w:type="dxa"/>
              <w:left w:w="15" w:type="dxa"/>
              <w:right w:w="15" w:type="dxa"/>
            </w:tcMar>
            <w:vAlign w:val="center"/>
          </w:tcPr>
          <w:p w14:paraId="373D2141">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A51794.0105</w:t>
            </w:r>
          </w:p>
        </w:tc>
        <w:tc>
          <w:tcPr>
            <w:tcW w:w="2930" w:type="dxa"/>
            <w:tcBorders>
              <w:tl2br w:val="nil"/>
              <w:tr2bl w:val="nil"/>
            </w:tcBorders>
            <w:shd w:val="clear" w:color="auto" w:fill="auto"/>
            <w:noWrap/>
            <w:tcMar>
              <w:top w:w="15" w:type="dxa"/>
              <w:left w:w="15" w:type="dxa"/>
              <w:right w:w="15" w:type="dxa"/>
            </w:tcMar>
            <w:vAlign w:val="center"/>
          </w:tcPr>
          <w:p w14:paraId="35EA19ED">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门架至起升油缸进油三通油管</w:t>
            </w:r>
          </w:p>
        </w:tc>
        <w:tc>
          <w:tcPr>
            <w:tcW w:w="577" w:type="dxa"/>
            <w:tcBorders>
              <w:tl2br w:val="nil"/>
              <w:tr2bl w:val="nil"/>
            </w:tcBorders>
            <w:shd w:val="clear" w:color="auto" w:fill="auto"/>
            <w:tcMar>
              <w:top w:w="15" w:type="dxa"/>
              <w:left w:w="15" w:type="dxa"/>
              <w:right w:w="15" w:type="dxa"/>
            </w:tcMar>
            <w:vAlign w:val="center"/>
          </w:tcPr>
          <w:p w14:paraId="0C5CB051">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tcMar>
              <w:top w:w="15" w:type="dxa"/>
              <w:left w:w="15" w:type="dxa"/>
              <w:right w:w="15" w:type="dxa"/>
            </w:tcMar>
            <w:vAlign w:val="center"/>
          </w:tcPr>
          <w:p w14:paraId="1182D115">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tcMar>
              <w:top w:w="15" w:type="dxa"/>
              <w:left w:w="15" w:type="dxa"/>
              <w:right w:w="15" w:type="dxa"/>
            </w:tcMar>
            <w:vAlign w:val="center"/>
          </w:tcPr>
          <w:p w14:paraId="436754D8">
            <w:pPr>
              <w:widowControl/>
              <w:jc w:val="center"/>
              <w:rPr>
                <w:rFonts w:ascii="宋体" w:hAnsi="宋体" w:cs="宋体"/>
                <w:snapToGrid w:val="0"/>
                <w:color w:val="000000"/>
                <w:kern w:val="0"/>
                <w:szCs w:val="21"/>
                <w:lang w:bidi="ar"/>
              </w:rPr>
            </w:pPr>
          </w:p>
        </w:tc>
      </w:tr>
      <w:tr w14:paraId="7A190F6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316943B8">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41</w:t>
            </w:r>
          </w:p>
        </w:tc>
        <w:tc>
          <w:tcPr>
            <w:tcW w:w="1235" w:type="dxa"/>
            <w:tcBorders>
              <w:tl2br w:val="nil"/>
              <w:tr2bl w:val="nil"/>
            </w:tcBorders>
            <w:shd w:val="clear" w:color="auto" w:fill="auto"/>
            <w:tcMar>
              <w:top w:w="15" w:type="dxa"/>
              <w:left w:w="15" w:type="dxa"/>
              <w:right w:w="15" w:type="dxa"/>
            </w:tcMar>
            <w:vAlign w:val="center"/>
          </w:tcPr>
          <w:p w14:paraId="60F78E66">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A51969.0090</w:t>
            </w:r>
          </w:p>
        </w:tc>
        <w:tc>
          <w:tcPr>
            <w:tcW w:w="2930" w:type="dxa"/>
            <w:tcBorders>
              <w:tl2br w:val="nil"/>
              <w:tr2bl w:val="nil"/>
            </w:tcBorders>
            <w:shd w:val="clear" w:color="auto" w:fill="auto"/>
            <w:noWrap/>
            <w:tcMar>
              <w:top w:w="15" w:type="dxa"/>
              <w:left w:w="15" w:type="dxa"/>
              <w:right w:w="15" w:type="dxa"/>
            </w:tcMar>
            <w:vAlign w:val="center"/>
          </w:tcPr>
          <w:p w14:paraId="2A159AD1">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左前倾油缸进油管</w:t>
            </w:r>
          </w:p>
        </w:tc>
        <w:tc>
          <w:tcPr>
            <w:tcW w:w="577" w:type="dxa"/>
            <w:tcBorders>
              <w:tl2br w:val="nil"/>
              <w:tr2bl w:val="nil"/>
            </w:tcBorders>
            <w:shd w:val="clear" w:color="auto" w:fill="auto"/>
            <w:tcMar>
              <w:top w:w="15" w:type="dxa"/>
              <w:left w:w="15" w:type="dxa"/>
              <w:right w:w="15" w:type="dxa"/>
            </w:tcMar>
            <w:vAlign w:val="center"/>
          </w:tcPr>
          <w:p w14:paraId="4427BED7">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tcMar>
              <w:top w:w="15" w:type="dxa"/>
              <w:left w:w="15" w:type="dxa"/>
              <w:right w:w="15" w:type="dxa"/>
            </w:tcMar>
            <w:vAlign w:val="center"/>
          </w:tcPr>
          <w:p w14:paraId="4672355C">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tcMar>
              <w:top w:w="15" w:type="dxa"/>
              <w:left w:w="15" w:type="dxa"/>
              <w:right w:w="15" w:type="dxa"/>
            </w:tcMar>
            <w:vAlign w:val="center"/>
          </w:tcPr>
          <w:p w14:paraId="3F0CF5E8">
            <w:pPr>
              <w:widowControl/>
              <w:jc w:val="center"/>
              <w:rPr>
                <w:rFonts w:ascii="宋体" w:hAnsi="宋体" w:cs="宋体"/>
                <w:snapToGrid w:val="0"/>
                <w:color w:val="000000"/>
                <w:kern w:val="0"/>
                <w:szCs w:val="21"/>
                <w:lang w:bidi="ar"/>
              </w:rPr>
            </w:pPr>
          </w:p>
        </w:tc>
      </w:tr>
      <w:tr w14:paraId="75490E7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177749F2">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42</w:t>
            </w:r>
          </w:p>
        </w:tc>
        <w:tc>
          <w:tcPr>
            <w:tcW w:w="1235" w:type="dxa"/>
            <w:tcBorders>
              <w:tl2br w:val="nil"/>
              <w:tr2bl w:val="nil"/>
            </w:tcBorders>
            <w:shd w:val="clear" w:color="auto" w:fill="auto"/>
            <w:tcMar>
              <w:top w:w="15" w:type="dxa"/>
              <w:left w:w="15" w:type="dxa"/>
              <w:right w:w="15" w:type="dxa"/>
            </w:tcMar>
            <w:vAlign w:val="center"/>
          </w:tcPr>
          <w:p w14:paraId="6DC1D55A">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A51794.0150</w:t>
            </w:r>
          </w:p>
        </w:tc>
        <w:tc>
          <w:tcPr>
            <w:tcW w:w="2930" w:type="dxa"/>
            <w:tcBorders>
              <w:tl2br w:val="nil"/>
              <w:tr2bl w:val="nil"/>
            </w:tcBorders>
            <w:shd w:val="clear" w:color="auto" w:fill="auto"/>
            <w:noWrap/>
            <w:tcMar>
              <w:top w:w="15" w:type="dxa"/>
              <w:left w:w="15" w:type="dxa"/>
              <w:right w:w="15" w:type="dxa"/>
            </w:tcMar>
            <w:vAlign w:val="center"/>
          </w:tcPr>
          <w:p w14:paraId="47FD03DF">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右前倾油缸进油管</w:t>
            </w:r>
          </w:p>
        </w:tc>
        <w:tc>
          <w:tcPr>
            <w:tcW w:w="577" w:type="dxa"/>
            <w:tcBorders>
              <w:tl2br w:val="nil"/>
              <w:tr2bl w:val="nil"/>
            </w:tcBorders>
            <w:shd w:val="clear" w:color="auto" w:fill="auto"/>
            <w:tcMar>
              <w:top w:w="15" w:type="dxa"/>
              <w:left w:w="15" w:type="dxa"/>
              <w:right w:w="15" w:type="dxa"/>
            </w:tcMar>
            <w:vAlign w:val="center"/>
          </w:tcPr>
          <w:p w14:paraId="0348C7C1">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tcMar>
              <w:top w:w="15" w:type="dxa"/>
              <w:left w:w="15" w:type="dxa"/>
              <w:right w:w="15" w:type="dxa"/>
            </w:tcMar>
            <w:vAlign w:val="center"/>
          </w:tcPr>
          <w:p w14:paraId="04446956">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tcMar>
              <w:top w:w="15" w:type="dxa"/>
              <w:left w:w="15" w:type="dxa"/>
              <w:right w:w="15" w:type="dxa"/>
            </w:tcMar>
            <w:vAlign w:val="center"/>
          </w:tcPr>
          <w:p w14:paraId="563208DD">
            <w:pPr>
              <w:widowControl/>
              <w:jc w:val="center"/>
              <w:rPr>
                <w:rFonts w:ascii="宋体" w:hAnsi="宋体" w:cs="宋体"/>
                <w:snapToGrid w:val="0"/>
                <w:color w:val="000000"/>
                <w:kern w:val="0"/>
                <w:szCs w:val="21"/>
                <w:lang w:bidi="ar"/>
              </w:rPr>
            </w:pPr>
          </w:p>
        </w:tc>
      </w:tr>
      <w:tr w14:paraId="1FBE8556">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0B2CACAB">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43</w:t>
            </w:r>
          </w:p>
        </w:tc>
        <w:tc>
          <w:tcPr>
            <w:tcW w:w="1235" w:type="dxa"/>
            <w:tcBorders>
              <w:tl2br w:val="nil"/>
              <w:tr2bl w:val="nil"/>
            </w:tcBorders>
            <w:shd w:val="clear" w:color="auto" w:fill="auto"/>
            <w:tcMar>
              <w:top w:w="15" w:type="dxa"/>
              <w:left w:w="15" w:type="dxa"/>
              <w:right w:w="15" w:type="dxa"/>
            </w:tcMar>
            <w:vAlign w:val="center"/>
          </w:tcPr>
          <w:p w14:paraId="41BB5368">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A51794.0165</w:t>
            </w:r>
          </w:p>
        </w:tc>
        <w:tc>
          <w:tcPr>
            <w:tcW w:w="2930" w:type="dxa"/>
            <w:tcBorders>
              <w:tl2br w:val="nil"/>
              <w:tr2bl w:val="nil"/>
            </w:tcBorders>
            <w:shd w:val="clear" w:color="auto" w:fill="auto"/>
            <w:noWrap/>
            <w:tcMar>
              <w:top w:w="15" w:type="dxa"/>
              <w:left w:w="15" w:type="dxa"/>
              <w:right w:w="15" w:type="dxa"/>
            </w:tcMar>
            <w:vAlign w:val="center"/>
          </w:tcPr>
          <w:p w14:paraId="0DE9F1B1">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右前倾油缸回油管</w:t>
            </w:r>
          </w:p>
        </w:tc>
        <w:tc>
          <w:tcPr>
            <w:tcW w:w="577" w:type="dxa"/>
            <w:tcBorders>
              <w:tl2br w:val="nil"/>
              <w:tr2bl w:val="nil"/>
            </w:tcBorders>
            <w:shd w:val="clear" w:color="auto" w:fill="auto"/>
            <w:tcMar>
              <w:top w:w="15" w:type="dxa"/>
              <w:left w:w="15" w:type="dxa"/>
              <w:right w:w="15" w:type="dxa"/>
            </w:tcMar>
            <w:vAlign w:val="center"/>
          </w:tcPr>
          <w:p w14:paraId="02A9A95A">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tcMar>
              <w:top w:w="15" w:type="dxa"/>
              <w:left w:w="15" w:type="dxa"/>
              <w:right w:w="15" w:type="dxa"/>
            </w:tcMar>
            <w:vAlign w:val="center"/>
          </w:tcPr>
          <w:p w14:paraId="3D0CF1E3">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tcMar>
              <w:top w:w="15" w:type="dxa"/>
              <w:left w:w="15" w:type="dxa"/>
              <w:right w:w="15" w:type="dxa"/>
            </w:tcMar>
            <w:vAlign w:val="center"/>
          </w:tcPr>
          <w:p w14:paraId="59F384A2">
            <w:pPr>
              <w:widowControl/>
              <w:jc w:val="center"/>
              <w:rPr>
                <w:rFonts w:ascii="宋体" w:hAnsi="宋体" w:cs="宋体"/>
                <w:snapToGrid w:val="0"/>
                <w:color w:val="000000"/>
                <w:kern w:val="0"/>
                <w:szCs w:val="21"/>
                <w:lang w:bidi="ar"/>
              </w:rPr>
            </w:pPr>
          </w:p>
        </w:tc>
      </w:tr>
      <w:tr w14:paraId="696AD538">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4A719556">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44</w:t>
            </w:r>
          </w:p>
        </w:tc>
        <w:tc>
          <w:tcPr>
            <w:tcW w:w="1235" w:type="dxa"/>
            <w:tcBorders>
              <w:tl2br w:val="nil"/>
              <w:tr2bl w:val="nil"/>
            </w:tcBorders>
            <w:shd w:val="clear" w:color="auto" w:fill="auto"/>
            <w:tcMar>
              <w:top w:w="15" w:type="dxa"/>
              <w:left w:w="15" w:type="dxa"/>
              <w:right w:w="15" w:type="dxa"/>
            </w:tcMar>
            <w:vAlign w:val="center"/>
          </w:tcPr>
          <w:p w14:paraId="4BF26785">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A51969.0100</w:t>
            </w:r>
          </w:p>
        </w:tc>
        <w:tc>
          <w:tcPr>
            <w:tcW w:w="2930" w:type="dxa"/>
            <w:tcBorders>
              <w:tl2br w:val="nil"/>
              <w:tr2bl w:val="nil"/>
            </w:tcBorders>
            <w:shd w:val="clear" w:color="auto" w:fill="auto"/>
            <w:noWrap/>
            <w:tcMar>
              <w:top w:w="15" w:type="dxa"/>
              <w:left w:w="15" w:type="dxa"/>
              <w:right w:w="15" w:type="dxa"/>
            </w:tcMar>
            <w:vAlign w:val="center"/>
          </w:tcPr>
          <w:p w14:paraId="6005B299">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左前倾油缸回油管</w:t>
            </w:r>
          </w:p>
        </w:tc>
        <w:tc>
          <w:tcPr>
            <w:tcW w:w="577" w:type="dxa"/>
            <w:tcBorders>
              <w:tl2br w:val="nil"/>
              <w:tr2bl w:val="nil"/>
            </w:tcBorders>
            <w:shd w:val="clear" w:color="auto" w:fill="auto"/>
            <w:tcMar>
              <w:top w:w="15" w:type="dxa"/>
              <w:left w:w="15" w:type="dxa"/>
              <w:right w:w="15" w:type="dxa"/>
            </w:tcMar>
            <w:vAlign w:val="center"/>
          </w:tcPr>
          <w:p w14:paraId="2CFD8FD1">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tcMar>
              <w:top w:w="15" w:type="dxa"/>
              <w:left w:w="15" w:type="dxa"/>
              <w:right w:w="15" w:type="dxa"/>
            </w:tcMar>
            <w:vAlign w:val="center"/>
          </w:tcPr>
          <w:p w14:paraId="2C2D152B">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tcMar>
              <w:top w:w="15" w:type="dxa"/>
              <w:left w:w="15" w:type="dxa"/>
              <w:right w:w="15" w:type="dxa"/>
            </w:tcMar>
            <w:vAlign w:val="center"/>
          </w:tcPr>
          <w:p w14:paraId="305E6940">
            <w:pPr>
              <w:widowControl/>
              <w:jc w:val="center"/>
              <w:rPr>
                <w:rFonts w:ascii="宋体" w:hAnsi="宋体" w:cs="宋体"/>
                <w:snapToGrid w:val="0"/>
                <w:color w:val="000000"/>
                <w:kern w:val="0"/>
                <w:szCs w:val="21"/>
                <w:lang w:bidi="ar"/>
              </w:rPr>
            </w:pPr>
          </w:p>
        </w:tc>
      </w:tr>
      <w:tr w14:paraId="6D143FB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6A51A045">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45</w:t>
            </w:r>
          </w:p>
        </w:tc>
        <w:tc>
          <w:tcPr>
            <w:tcW w:w="1235" w:type="dxa"/>
            <w:tcBorders>
              <w:tl2br w:val="nil"/>
              <w:tr2bl w:val="nil"/>
            </w:tcBorders>
            <w:shd w:val="clear" w:color="auto" w:fill="auto"/>
            <w:noWrap/>
            <w:tcMar>
              <w:top w:w="15" w:type="dxa"/>
              <w:left w:w="15" w:type="dxa"/>
              <w:right w:w="15" w:type="dxa"/>
            </w:tcMar>
            <w:vAlign w:val="center"/>
          </w:tcPr>
          <w:p w14:paraId="6DDF347B">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A51806.0036</w:t>
            </w:r>
          </w:p>
        </w:tc>
        <w:tc>
          <w:tcPr>
            <w:tcW w:w="2930" w:type="dxa"/>
            <w:tcBorders>
              <w:tl2br w:val="nil"/>
              <w:tr2bl w:val="nil"/>
            </w:tcBorders>
            <w:shd w:val="clear" w:color="auto" w:fill="auto"/>
            <w:noWrap/>
            <w:tcMar>
              <w:top w:w="15" w:type="dxa"/>
              <w:left w:w="15" w:type="dxa"/>
              <w:right w:w="15" w:type="dxa"/>
            </w:tcMar>
            <w:vAlign w:val="center"/>
          </w:tcPr>
          <w:p w14:paraId="529DB78B">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液压油箱至液压散热器油管</w:t>
            </w:r>
          </w:p>
        </w:tc>
        <w:tc>
          <w:tcPr>
            <w:tcW w:w="577" w:type="dxa"/>
            <w:tcBorders>
              <w:tl2br w:val="nil"/>
              <w:tr2bl w:val="nil"/>
            </w:tcBorders>
            <w:shd w:val="clear" w:color="auto" w:fill="auto"/>
            <w:noWrap/>
            <w:tcMar>
              <w:top w:w="15" w:type="dxa"/>
              <w:left w:w="15" w:type="dxa"/>
              <w:right w:w="15" w:type="dxa"/>
            </w:tcMar>
            <w:vAlign w:val="center"/>
          </w:tcPr>
          <w:p w14:paraId="54E64B9D">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noWrap/>
            <w:tcMar>
              <w:top w:w="15" w:type="dxa"/>
              <w:left w:w="15" w:type="dxa"/>
              <w:right w:w="15" w:type="dxa"/>
            </w:tcMar>
            <w:vAlign w:val="center"/>
          </w:tcPr>
          <w:p w14:paraId="56B7D7C9">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noWrap/>
            <w:tcMar>
              <w:top w:w="15" w:type="dxa"/>
              <w:left w:w="15" w:type="dxa"/>
              <w:right w:w="15" w:type="dxa"/>
            </w:tcMar>
            <w:vAlign w:val="center"/>
          </w:tcPr>
          <w:p w14:paraId="23F2F189">
            <w:pPr>
              <w:widowControl/>
              <w:jc w:val="center"/>
              <w:rPr>
                <w:rFonts w:ascii="宋体" w:hAnsi="宋体" w:cs="宋体"/>
                <w:snapToGrid w:val="0"/>
                <w:color w:val="000000"/>
                <w:kern w:val="0"/>
                <w:szCs w:val="21"/>
                <w:lang w:bidi="ar"/>
              </w:rPr>
            </w:pPr>
          </w:p>
        </w:tc>
      </w:tr>
      <w:tr w14:paraId="038B5D1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481D6DDD">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46</w:t>
            </w:r>
          </w:p>
        </w:tc>
        <w:tc>
          <w:tcPr>
            <w:tcW w:w="1235" w:type="dxa"/>
            <w:tcBorders>
              <w:tl2br w:val="nil"/>
              <w:tr2bl w:val="nil"/>
            </w:tcBorders>
            <w:shd w:val="clear" w:color="auto" w:fill="auto"/>
            <w:noWrap/>
            <w:tcMar>
              <w:top w:w="15" w:type="dxa"/>
              <w:left w:w="15" w:type="dxa"/>
              <w:right w:w="15" w:type="dxa"/>
            </w:tcMar>
            <w:vAlign w:val="center"/>
          </w:tcPr>
          <w:p w14:paraId="43823766">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A51806.0330</w:t>
            </w:r>
          </w:p>
        </w:tc>
        <w:tc>
          <w:tcPr>
            <w:tcW w:w="2930" w:type="dxa"/>
            <w:tcBorders>
              <w:tl2br w:val="nil"/>
              <w:tr2bl w:val="nil"/>
            </w:tcBorders>
            <w:shd w:val="clear" w:color="auto" w:fill="auto"/>
            <w:noWrap/>
            <w:tcMar>
              <w:top w:w="15" w:type="dxa"/>
              <w:left w:w="15" w:type="dxa"/>
              <w:right w:w="15" w:type="dxa"/>
            </w:tcMar>
            <w:vAlign w:val="center"/>
          </w:tcPr>
          <w:p w14:paraId="0AFE6D1A">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九通阀至液压油散热器油管</w:t>
            </w:r>
          </w:p>
        </w:tc>
        <w:tc>
          <w:tcPr>
            <w:tcW w:w="577" w:type="dxa"/>
            <w:tcBorders>
              <w:tl2br w:val="nil"/>
              <w:tr2bl w:val="nil"/>
            </w:tcBorders>
            <w:shd w:val="clear" w:color="auto" w:fill="auto"/>
            <w:noWrap/>
            <w:tcMar>
              <w:top w:w="15" w:type="dxa"/>
              <w:left w:w="15" w:type="dxa"/>
              <w:right w:w="15" w:type="dxa"/>
            </w:tcMar>
            <w:vAlign w:val="center"/>
          </w:tcPr>
          <w:p w14:paraId="455562BB">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noWrap/>
            <w:tcMar>
              <w:top w:w="15" w:type="dxa"/>
              <w:left w:w="15" w:type="dxa"/>
              <w:right w:w="15" w:type="dxa"/>
            </w:tcMar>
            <w:vAlign w:val="center"/>
          </w:tcPr>
          <w:p w14:paraId="748284D8">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noWrap/>
            <w:tcMar>
              <w:top w:w="15" w:type="dxa"/>
              <w:left w:w="15" w:type="dxa"/>
              <w:right w:w="15" w:type="dxa"/>
            </w:tcMar>
            <w:vAlign w:val="center"/>
          </w:tcPr>
          <w:p w14:paraId="35DCEA11">
            <w:pPr>
              <w:widowControl/>
              <w:jc w:val="center"/>
              <w:rPr>
                <w:rFonts w:ascii="宋体" w:hAnsi="宋体" w:cs="宋体"/>
                <w:snapToGrid w:val="0"/>
                <w:color w:val="000000"/>
                <w:kern w:val="0"/>
                <w:szCs w:val="21"/>
                <w:lang w:bidi="ar"/>
              </w:rPr>
            </w:pPr>
          </w:p>
        </w:tc>
      </w:tr>
      <w:tr w14:paraId="38AA398E">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7FEDAB0A">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47</w:t>
            </w:r>
          </w:p>
        </w:tc>
        <w:tc>
          <w:tcPr>
            <w:tcW w:w="1235" w:type="dxa"/>
            <w:tcBorders>
              <w:tl2br w:val="nil"/>
              <w:tr2bl w:val="nil"/>
            </w:tcBorders>
            <w:shd w:val="clear" w:color="auto" w:fill="auto"/>
            <w:noWrap/>
            <w:tcMar>
              <w:top w:w="15" w:type="dxa"/>
              <w:left w:w="15" w:type="dxa"/>
              <w:right w:w="15" w:type="dxa"/>
            </w:tcMar>
            <w:vAlign w:val="center"/>
          </w:tcPr>
          <w:p w14:paraId="1BD582D1">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A51806.0085</w:t>
            </w:r>
          </w:p>
        </w:tc>
        <w:tc>
          <w:tcPr>
            <w:tcW w:w="2930" w:type="dxa"/>
            <w:tcBorders>
              <w:tl2br w:val="nil"/>
              <w:tr2bl w:val="nil"/>
            </w:tcBorders>
            <w:shd w:val="clear" w:color="auto" w:fill="auto"/>
            <w:noWrap/>
            <w:tcMar>
              <w:top w:w="15" w:type="dxa"/>
              <w:left w:w="15" w:type="dxa"/>
              <w:right w:w="15" w:type="dxa"/>
            </w:tcMar>
            <w:vAlign w:val="center"/>
          </w:tcPr>
          <w:p w14:paraId="59BAD3A2">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液压油箱至液压散热器油管</w:t>
            </w:r>
          </w:p>
        </w:tc>
        <w:tc>
          <w:tcPr>
            <w:tcW w:w="577" w:type="dxa"/>
            <w:tcBorders>
              <w:tl2br w:val="nil"/>
              <w:tr2bl w:val="nil"/>
            </w:tcBorders>
            <w:shd w:val="clear" w:color="auto" w:fill="auto"/>
            <w:noWrap/>
            <w:tcMar>
              <w:top w:w="15" w:type="dxa"/>
              <w:left w:w="15" w:type="dxa"/>
              <w:right w:w="15" w:type="dxa"/>
            </w:tcMar>
            <w:vAlign w:val="center"/>
          </w:tcPr>
          <w:p w14:paraId="021B1010">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noWrap/>
            <w:tcMar>
              <w:top w:w="15" w:type="dxa"/>
              <w:left w:w="15" w:type="dxa"/>
              <w:right w:w="15" w:type="dxa"/>
            </w:tcMar>
            <w:vAlign w:val="center"/>
          </w:tcPr>
          <w:p w14:paraId="25A58363">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noWrap/>
            <w:tcMar>
              <w:top w:w="15" w:type="dxa"/>
              <w:left w:w="15" w:type="dxa"/>
              <w:right w:w="15" w:type="dxa"/>
            </w:tcMar>
            <w:vAlign w:val="center"/>
          </w:tcPr>
          <w:p w14:paraId="2D47BCC8">
            <w:pPr>
              <w:widowControl/>
              <w:jc w:val="center"/>
              <w:rPr>
                <w:rFonts w:ascii="宋体" w:hAnsi="宋体" w:cs="宋体"/>
                <w:snapToGrid w:val="0"/>
                <w:color w:val="000000"/>
                <w:kern w:val="0"/>
                <w:szCs w:val="21"/>
                <w:lang w:bidi="ar"/>
              </w:rPr>
            </w:pPr>
          </w:p>
        </w:tc>
      </w:tr>
      <w:tr w14:paraId="2D729B2A">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5CCC4DCF">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48</w:t>
            </w:r>
          </w:p>
        </w:tc>
        <w:tc>
          <w:tcPr>
            <w:tcW w:w="1235" w:type="dxa"/>
            <w:tcBorders>
              <w:tl2br w:val="nil"/>
              <w:tr2bl w:val="nil"/>
            </w:tcBorders>
            <w:shd w:val="clear" w:color="auto" w:fill="auto"/>
            <w:noWrap/>
            <w:tcMar>
              <w:top w:w="15" w:type="dxa"/>
              <w:left w:w="15" w:type="dxa"/>
              <w:right w:w="15" w:type="dxa"/>
            </w:tcMar>
            <w:vAlign w:val="center"/>
          </w:tcPr>
          <w:p w14:paraId="36DADF38">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A51826.0270</w:t>
            </w:r>
          </w:p>
        </w:tc>
        <w:tc>
          <w:tcPr>
            <w:tcW w:w="2930" w:type="dxa"/>
            <w:tcBorders>
              <w:tl2br w:val="nil"/>
              <w:tr2bl w:val="nil"/>
            </w:tcBorders>
            <w:shd w:val="clear" w:color="auto" w:fill="auto"/>
            <w:noWrap/>
            <w:tcMar>
              <w:top w:w="15" w:type="dxa"/>
              <w:left w:w="15" w:type="dxa"/>
              <w:right w:w="15" w:type="dxa"/>
            </w:tcMar>
            <w:vAlign w:val="center"/>
          </w:tcPr>
          <w:p w14:paraId="5CDDC58D">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优先阀至油箱回油管</w:t>
            </w:r>
          </w:p>
        </w:tc>
        <w:tc>
          <w:tcPr>
            <w:tcW w:w="577" w:type="dxa"/>
            <w:tcBorders>
              <w:tl2br w:val="nil"/>
              <w:tr2bl w:val="nil"/>
            </w:tcBorders>
            <w:shd w:val="clear" w:color="auto" w:fill="auto"/>
            <w:noWrap/>
            <w:tcMar>
              <w:top w:w="15" w:type="dxa"/>
              <w:left w:w="15" w:type="dxa"/>
              <w:right w:w="15" w:type="dxa"/>
            </w:tcMar>
            <w:vAlign w:val="center"/>
          </w:tcPr>
          <w:p w14:paraId="538E51C1">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noWrap/>
            <w:tcMar>
              <w:top w:w="15" w:type="dxa"/>
              <w:left w:w="15" w:type="dxa"/>
              <w:right w:w="15" w:type="dxa"/>
            </w:tcMar>
            <w:vAlign w:val="center"/>
          </w:tcPr>
          <w:p w14:paraId="1AFF7FE9">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noWrap/>
            <w:tcMar>
              <w:top w:w="15" w:type="dxa"/>
              <w:left w:w="15" w:type="dxa"/>
              <w:right w:w="15" w:type="dxa"/>
            </w:tcMar>
            <w:vAlign w:val="center"/>
          </w:tcPr>
          <w:p w14:paraId="0ED36F29">
            <w:pPr>
              <w:widowControl/>
              <w:jc w:val="center"/>
              <w:rPr>
                <w:rFonts w:ascii="宋体" w:hAnsi="宋体" w:cs="宋体"/>
                <w:snapToGrid w:val="0"/>
                <w:color w:val="000000"/>
                <w:kern w:val="0"/>
                <w:szCs w:val="21"/>
                <w:lang w:bidi="ar"/>
              </w:rPr>
            </w:pPr>
          </w:p>
        </w:tc>
      </w:tr>
      <w:tr w14:paraId="7468F702">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06A316D9">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49</w:t>
            </w:r>
          </w:p>
        </w:tc>
        <w:tc>
          <w:tcPr>
            <w:tcW w:w="1235" w:type="dxa"/>
            <w:tcBorders>
              <w:tl2br w:val="nil"/>
              <w:tr2bl w:val="nil"/>
            </w:tcBorders>
            <w:shd w:val="clear" w:color="auto" w:fill="auto"/>
            <w:noWrap/>
            <w:tcMar>
              <w:top w:w="15" w:type="dxa"/>
              <w:left w:w="15" w:type="dxa"/>
              <w:right w:w="15" w:type="dxa"/>
            </w:tcMar>
            <w:vAlign w:val="center"/>
          </w:tcPr>
          <w:p w14:paraId="7B4D5608">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A51794.0625</w:t>
            </w:r>
          </w:p>
        </w:tc>
        <w:tc>
          <w:tcPr>
            <w:tcW w:w="2930" w:type="dxa"/>
            <w:tcBorders>
              <w:tl2br w:val="nil"/>
              <w:tr2bl w:val="nil"/>
            </w:tcBorders>
            <w:shd w:val="clear" w:color="auto" w:fill="auto"/>
            <w:noWrap/>
            <w:tcMar>
              <w:top w:w="15" w:type="dxa"/>
              <w:left w:w="15" w:type="dxa"/>
              <w:right w:w="15" w:type="dxa"/>
            </w:tcMar>
            <w:vAlign w:val="center"/>
          </w:tcPr>
          <w:p w14:paraId="486C8125">
            <w:pPr>
              <w:widowControl/>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转向油缸油缸</w:t>
            </w:r>
          </w:p>
        </w:tc>
        <w:tc>
          <w:tcPr>
            <w:tcW w:w="577" w:type="dxa"/>
            <w:tcBorders>
              <w:tl2br w:val="nil"/>
              <w:tr2bl w:val="nil"/>
            </w:tcBorders>
            <w:shd w:val="clear" w:color="auto" w:fill="auto"/>
            <w:noWrap/>
            <w:tcMar>
              <w:top w:w="15" w:type="dxa"/>
              <w:left w:w="15" w:type="dxa"/>
              <w:right w:w="15" w:type="dxa"/>
            </w:tcMar>
            <w:vAlign w:val="center"/>
          </w:tcPr>
          <w:p w14:paraId="73679098">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2</w:t>
            </w:r>
          </w:p>
        </w:tc>
        <w:tc>
          <w:tcPr>
            <w:tcW w:w="1489" w:type="dxa"/>
            <w:tcBorders>
              <w:tl2br w:val="nil"/>
              <w:tr2bl w:val="nil"/>
            </w:tcBorders>
            <w:shd w:val="clear" w:color="auto" w:fill="auto"/>
            <w:noWrap/>
            <w:tcMar>
              <w:top w:w="15" w:type="dxa"/>
              <w:left w:w="15" w:type="dxa"/>
              <w:right w:w="15" w:type="dxa"/>
            </w:tcMar>
            <w:vAlign w:val="center"/>
          </w:tcPr>
          <w:p w14:paraId="272B727F">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noWrap/>
            <w:tcMar>
              <w:top w:w="15" w:type="dxa"/>
              <w:left w:w="15" w:type="dxa"/>
              <w:right w:w="15" w:type="dxa"/>
            </w:tcMar>
            <w:vAlign w:val="center"/>
          </w:tcPr>
          <w:p w14:paraId="3BDAAD12">
            <w:pPr>
              <w:widowControl/>
              <w:jc w:val="center"/>
              <w:rPr>
                <w:rFonts w:ascii="宋体" w:hAnsi="宋体" w:cs="宋体"/>
                <w:snapToGrid w:val="0"/>
                <w:color w:val="000000"/>
                <w:kern w:val="0"/>
                <w:szCs w:val="21"/>
                <w:lang w:bidi="ar"/>
              </w:rPr>
            </w:pPr>
          </w:p>
        </w:tc>
      </w:tr>
      <w:tr w14:paraId="0AFFF960">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481156E4">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50</w:t>
            </w:r>
          </w:p>
        </w:tc>
        <w:tc>
          <w:tcPr>
            <w:tcW w:w="1235" w:type="dxa"/>
            <w:tcBorders>
              <w:tl2br w:val="nil"/>
              <w:tr2bl w:val="nil"/>
            </w:tcBorders>
            <w:shd w:val="clear" w:color="auto" w:fill="auto"/>
            <w:noWrap/>
            <w:tcMar>
              <w:top w:w="15" w:type="dxa"/>
              <w:left w:w="15" w:type="dxa"/>
              <w:right w:w="15" w:type="dxa"/>
            </w:tcMar>
            <w:vAlign w:val="center"/>
          </w:tcPr>
          <w:p w14:paraId="3242D4DA">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A51825.0050</w:t>
            </w:r>
          </w:p>
        </w:tc>
        <w:tc>
          <w:tcPr>
            <w:tcW w:w="2930" w:type="dxa"/>
            <w:vMerge w:val="restart"/>
            <w:tcBorders>
              <w:tl2br w:val="nil"/>
              <w:tr2bl w:val="nil"/>
            </w:tcBorders>
            <w:shd w:val="clear" w:color="auto" w:fill="auto"/>
            <w:noWrap/>
            <w:tcMar>
              <w:top w:w="15" w:type="dxa"/>
              <w:left w:w="15" w:type="dxa"/>
              <w:right w:w="15" w:type="dxa"/>
            </w:tcMar>
            <w:vAlign w:val="center"/>
          </w:tcPr>
          <w:p w14:paraId="77071E16">
            <w:pPr>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变速箱的泵至阀油管</w:t>
            </w:r>
          </w:p>
        </w:tc>
        <w:tc>
          <w:tcPr>
            <w:tcW w:w="577" w:type="dxa"/>
            <w:vMerge w:val="restart"/>
            <w:tcBorders>
              <w:tl2br w:val="nil"/>
              <w:tr2bl w:val="nil"/>
            </w:tcBorders>
            <w:shd w:val="clear" w:color="auto" w:fill="auto"/>
            <w:noWrap/>
            <w:tcMar>
              <w:top w:w="15" w:type="dxa"/>
              <w:left w:w="15" w:type="dxa"/>
              <w:right w:w="15" w:type="dxa"/>
            </w:tcMar>
            <w:vAlign w:val="center"/>
          </w:tcPr>
          <w:p w14:paraId="62C4890D">
            <w:pPr>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val="en-US" w:eastAsia="zh-CN" w:bidi="ar"/>
              </w:rPr>
              <w:t>4</w:t>
            </w:r>
          </w:p>
        </w:tc>
        <w:tc>
          <w:tcPr>
            <w:tcW w:w="1489" w:type="dxa"/>
            <w:vMerge w:val="restart"/>
            <w:tcBorders>
              <w:tl2br w:val="nil"/>
              <w:tr2bl w:val="nil"/>
            </w:tcBorders>
            <w:shd w:val="clear" w:color="auto" w:fill="auto"/>
            <w:noWrap/>
            <w:tcMar>
              <w:top w:w="15" w:type="dxa"/>
              <w:left w:w="15" w:type="dxa"/>
              <w:right w:w="15" w:type="dxa"/>
            </w:tcMar>
            <w:vAlign w:val="center"/>
          </w:tcPr>
          <w:p w14:paraId="6EA1A44B">
            <w:pPr>
              <w:widowControl/>
              <w:jc w:val="center"/>
              <w:rPr>
                <w:rFonts w:ascii="宋体" w:hAnsi="宋体" w:cs="宋体"/>
                <w:snapToGrid w:val="0"/>
                <w:color w:val="000000"/>
                <w:kern w:val="0"/>
                <w:szCs w:val="21"/>
                <w:lang w:bidi="ar"/>
              </w:rPr>
            </w:pPr>
          </w:p>
        </w:tc>
        <w:tc>
          <w:tcPr>
            <w:tcW w:w="1529" w:type="dxa"/>
            <w:vMerge w:val="restart"/>
            <w:tcBorders>
              <w:tl2br w:val="nil"/>
              <w:tr2bl w:val="nil"/>
            </w:tcBorders>
            <w:shd w:val="clear" w:color="auto" w:fill="auto"/>
            <w:noWrap/>
            <w:tcMar>
              <w:top w:w="15" w:type="dxa"/>
              <w:left w:w="15" w:type="dxa"/>
              <w:right w:w="15" w:type="dxa"/>
            </w:tcMar>
            <w:vAlign w:val="center"/>
          </w:tcPr>
          <w:p w14:paraId="2EA8756A">
            <w:pPr>
              <w:widowControl/>
              <w:jc w:val="center"/>
              <w:rPr>
                <w:rFonts w:ascii="宋体" w:hAnsi="宋体" w:cs="宋体"/>
                <w:snapToGrid w:val="0"/>
                <w:color w:val="000000"/>
                <w:kern w:val="0"/>
                <w:szCs w:val="21"/>
                <w:lang w:bidi="ar"/>
              </w:rPr>
            </w:pPr>
          </w:p>
        </w:tc>
      </w:tr>
      <w:tr w14:paraId="4F11795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5214805C">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51</w:t>
            </w:r>
          </w:p>
        </w:tc>
        <w:tc>
          <w:tcPr>
            <w:tcW w:w="1235" w:type="dxa"/>
            <w:tcBorders>
              <w:tl2br w:val="nil"/>
              <w:tr2bl w:val="nil"/>
            </w:tcBorders>
            <w:shd w:val="clear" w:color="auto" w:fill="auto"/>
            <w:noWrap/>
            <w:tcMar>
              <w:top w:w="15" w:type="dxa"/>
              <w:left w:w="15" w:type="dxa"/>
              <w:right w:w="15" w:type="dxa"/>
            </w:tcMar>
            <w:vAlign w:val="center"/>
          </w:tcPr>
          <w:p w14:paraId="24531E53">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A51825.0100</w:t>
            </w:r>
          </w:p>
        </w:tc>
        <w:tc>
          <w:tcPr>
            <w:tcW w:w="2930" w:type="dxa"/>
            <w:vMerge w:val="continue"/>
            <w:tcBorders>
              <w:tl2br w:val="nil"/>
              <w:tr2bl w:val="nil"/>
            </w:tcBorders>
            <w:shd w:val="clear" w:color="auto" w:fill="auto"/>
            <w:noWrap/>
            <w:tcMar>
              <w:top w:w="15" w:type="dxa"/>
              <w:left w:w="15" w:type="dxa"/>
              <w:right w:w="15" w:type="dxa"/>
            </w:tcMar>
            <w:vAlign w:val="center"/>
          </w:tcPr>
          <w:p w14:paraId="4232E460">
            <w:pPr>
              <w:jc w:val="center"/>
              <w:rPr>
                <w:rFonts w:ascii="宋体" w:hAnsi="宋体" w:cs="宋体"/>
                <w:snapToGrid w:val="0"/>
                <w:color w:val="000000"/>
                <w:kern w:val="0"/>
                <w:szCs w:val="21"/>
              </w:rPr>
            </w:pPr>
          </w:p>
        </w:tc>
        <w:tc>
          <w:tcPr>
            <w:tcW w:w="577" w:type="dxa"/>
            <w:vMerge w:val="continue"/>
            <w:tcBorders>
              <w:tl2br w:val="nil"/>
              <w:tr2bl w:val="nil"/>
            </w:tcBorders>
            <w:shd w:val="clear" w:color="auto" w:fill="auto"/>
            <w:noWrap/>
            <w:tcMar>
              <w:top w:w="15" w:type="dxa"/>
              <w:left w:w="15" w:type="dxa"/>
              <w:right w:w="15" w:type="dxa"/>
            </w:tcMar>
            <w:vAlign w:val="center"/>
          </w:tcPr>
          <w:p w14:paraId="48F172E8">
            <w:pPr>
              <w:jc w:val="center"/>
              <w:rPr>
                <w:rFonts w:ascii="宋体" w:hAnsi="宋体" w:cs="宋体"/>
                <w:snapToGrid w:val="0"/>
                <w:color w:val="000000"/>
                <w:kern w:val="0"/>
                <w:szCs w:val="21"/>
                <w:lang w:eastAsia="en-US"/>
              </w:rPr>
            </w:pPr>
          </w:p>
        </w:tc>
        <w:tc>
          <w:tcPr>
            <w:tcW w:w="1489" w:type="dxa"/>
            <w:vMerge w:val="continue"/>
            <w:tcBorders>
              <w:tl2br w:val="nil"/>
              <w:tr2bl w:val="nil"/>
            </w:tcBorders>
            <w:shd w:val="clear" w:color="auto" w:fill="auto"/>
            <w:noWrap/>
            <w:tcMar>
              <w:top w:w="15" w:type="dxa"/>
              <w:left w:w="15" w:type="dxa"/>
              <w:right w:w="15" w:type="dxa"/>
            </w:tcMar>
            <w:vAlign w:val="center"/>
          </w:tcPr>
          <w:p w14:paraId="3CD9346E">
            <w:pPr>
              <w:widowControl/>
              <w:jc w:val="center"/>
              <w:rPr>
                <w:rFonts w:ascii="宋体" w:hAnsi="宋体" w:cs="宋体"/>
                <w:snapToGrid w:val="0"/>
                <w:color w:val="000000"/>
                <w:kern w:val="0"/>
                <w:szCs w:val="21"/>
                <w:lang w:bidi="ar"/>
              </w:rPr>
            </w:pPr>
          </w:p>
        </w:tc>
        <w:tc>
          <w:tcPr>
            <w:tcW w:w="1529" w:type="dxa"/>
            <w:vMerge w:val="continue"/>
            <w:tcBorders>
              <w:tl2br w:val="nil"/>
              <w:tr2bl w:val="nil"/>
            </w:tcBorders>
            <w:shd w:val="clear" w:color="auto" w:fill="auto"/>
            <w:noWrap/>
            <w:tcMar>
              <w:top w:w="15" w:type="dxa"/>
              <w:left w:w="15" w:type="dxa"/>
              <w:right w:w="15" w:type="dxa"/>
            </w:tcMar>
            <w:vAlign w:val="center"/>
          </w:tcPr>
          <w:p w14:paraId="6E90F6DF">
            <w:pPr>
              <w:widowControl/>
              <w:jc w:val="center"/>
              <w:rPr>
                <w:rFonts w:ascii="宋体" w:hAnsi="宋体" w:cs="宋体"/>
                <w:snapToGrid w:val="0"/>
                <w:color w:val="000000"/>
                <w:kern w:val="0"/>
                <w:szCs w:val="21"/>
                <w:lang w:bidi="ar"/>
              </w:rPr>
            </w:pPr>
          </w:p>
        </w:tc>
      </w:tr>
      <w:tr w14:paraId="6079F4D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6982CF3D">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52</w:t>
            </w:r>
          </w:p>
        </w:tc>
        <w:tc>
          <w:tcPr>
            <w:tcW w:w="1235" w:type="dxa"/>
            <w:tcBorders>
              <w:tl2br w:val="nil"/>
              <w:tr2bl w:val="nil"/>
            </w:tcBorders>
            <w:shd w:val="clear" w:color="auto" w:fill="auto"/>
            <w:noWrap/>
            <w:tcMar>
              <w:top w:w="15" w:type="dxa"/>
              <w:left w:w="15" w:type="dxa"/>
              <w:right w:w="15" w:type="dxa"/>
            </w:tcMar>
            <w:vAlign w:val="center"/>
          </w:tcPr>
          <w:p w14:paraId="73DB5736">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A51825.0040</w:t>
            </w:r>
          </w:p>
        </w:tc>
        <w:tc>
          <w:tcPr>
            <w:tcW w:w="2930" w:type="dxa"/>
            <w:vMerge w:val="continue"/>
            <w:tcBorders>
              <w:tl2br w:val="nil"/>
              <w:tr2bl w:val="nil"/>
            </w:tcBorders>
            <w:shd w:val="clear" w:color="auto" w:fill="auto"/>
            <w:noWrap/>
            <w:tcMar>
              <w:top w:w="15" w:type="dxa"/>
              <w:left w:w="15" w:type="dxa"/>
              <w:right w:w="15" w:type="dxa"/>
            </w:tcMar>
            <w:vAlign w:val="center"/>
          </w:tcPr>
          <w:p w14:paraId="19C0F155">
            <w:pPr>
              <w:jc w:val="center"/>
              <w:rPr>
                <w:rFonts w:ascii="宋体" w:hAnsi="宋体" w:cs="宋体"/>
                <w:snapToGrid w:val="0"/>
                <w:color w:val="000000"/>
                <w:kern w:val="0"/>
                <w:szCs w:val="21"/>
              </w:rPr>
            </w:pPr>
          </w:p>
        </w:tc>
        <w:tc>
          <w:tcPr>
            <w:tcW w:w="577" w:type="dxa"/>
            <w:vMerge w:val="continue"/>
            <w:tcBorders>
              <w:tl2br w:val="nil"/>
              <w:tr2bl w:val="nil"/>
            </w:tcBorders>
            <w:shd w:val="clear" w:color="auto" w:fill="auto"/>
            <w:noWrap/>
            <w:tcMar>
              <w:top w:w="15" w:type="dxa"/>
              <w:left w:w="15" w:type="dxa"/>
              <w:right w:w="15" w:type="dxa"/>
            </w:tcMar>
            <w:vAlign w:val="center"/>
          </w:tcPr>
          <w:p w14:paraId="4F5952A8">
            <w:pPr>
              <w:jc w:val="center"/>
              <w:rPr>
                <w:rFonts w:ascii="宋体" w:hAnsi="宋体" w:cs="宋体"/>
                <w:snapToGrid w:val="0"/>
                <w:color w:val="000000"/>
                <w:kern w:val="0"/>
                <w:szCs w:val="21"/>
                <w:lang w:eastAsia="en-US"/>
              </w:rPr>
            </w:pPr>
          </w:p>
        </w:tc>
        <w:tc>
          <w:tcPr>
            <w:tcW w:w="1489" w:type="dxa"/>
            <w:vMerge w:val="continue"/>
            <w:tcBorders>
              <w:tl2br w:val="nil"/>
              <w:tr2bl w:val="nil"/>
            </w:tcBorders>
            <w:shd w:val="clear" w:color="auto" w:fill="auto"/>
            <w:noWrap/>
            <w:tcMar>
              <w:top w:w="15" w:type="dxa"/>
              <w:left w:w="15" w:type="dxa"/>
              <w:right w:w="15" w:type="dxa"/>
            </w:tcMar>
            <w:vAlign w:val="center"/>
          </w:tcPr>
          <w:p w14:paraId="79CF23B2">
            <w:pPr>
              <w:widowControl/>
              <w:jc w:val="center"/>
              <w:rPr>
                <w:rFonts w:ascii="宋体" w:hAnsi="宋体" w:cs="宋体"/>
                <w:snapToGrid w:val="0"/>
                <w:color w:val="000000"/>
                <w:kern w:val="0"/>
                <w:szCs w:val="21"/>
                <w:lang w:bidi="ar"/>
              </w:rPr>
            </w:pPr>
          </w:p>
        </w:tc>
        <w:tc>
          <w:tcPr>
            <w:tcW w:w="1529" w:type="dxa"/>
            <w:vMerge w:val="continue"/>
            <w:tcBorders>
              <w:tl2br w:val="nil"/>
              <w:tr2bl w:val="nil"/>
            </w:tcBorders>
            <w:shd w:val="clear" w:color="auto" w:fill="auto"/>
            <w:noWrap/>
            <w:tcMar>
              <w:top w:w="15" w:type="dxa"/>
              <w:left w:w="15" w:type="dxa"/>
              <w:right w:w="15" w:type="dxa"/>
            </w:tcMar>
            <w:vAlign w:val="center"/>
          </w:tcPr>
          <w:p w14:paraId="02683106">
            <w:pPr>
              <w:widowControl/>
              <w:jc w:val="center"/>
              <w:rPr>
                <w:rFonts w:ascii="宋体" w:hAnsi="宋体" w:cs="宋体"/>
                <w:snapToGrid w:val="0"/>
                <w:color w:val="000000"/>
                <w:kern w:val="0"/>
                <w:szCs w:val="21"/>
                <w:lang w:bidi="ar"/>
              </w:rPr>
            </w:pPr>
          </w:p>
        </w:tc>
      </w:tr>
      <w:tr w14:paraId="3AD0F347">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502626B4">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53</w:t>
            </w:r>
          </w:p>
        </w:tc>
        <w:tc>
          <w:tcPr>
            <w:tcW w:w="1235" w:type="dxa"/>
            <w:tcBorders>
              <w:tl2br w:val="nil"/>
              <w:tr2bl w:val="nil"/>
            </w:tcBorders>
            <w:shd w:val="clear" w:color="auto" w:fill="auto"/>
            <w:noWrap/>
            <w:tcMar>
              <w:top w:w="15" w:type="dxa"/>
              <w:left w:w="15" w:type="dxa"/>
              <w:right w:w="15" w:type="dxa"/>
            </w:tcMar>
            <w:vAlign w:val="center"/>
          </w:tcPr>
          <w:p w14:paraId="4F72972B">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A51826.0070</w:t>
            </w:r>
          </w:p>
        </w:tc>
        <w:tc>
          <w:tcPr>
            <w:tcW w:w="2930" w:type="dxa"/>
            <w:vMerge w:val="continue"/>
            <w:tcBorders>
              <w:tl2br w:val="nil"/>
              <w:tr2bl w:val="nil"/>
            </w:tcBorders>
            <w:shd w:val="clear" w:color="auto" w:fill="auto"/>
            <w:noWrap/>
            <w:tcMar>
              <w:top w:w="15" w:type="dxa"/>
              <w:left w:w="15" w:type="dxa"/>
              <w:right w:w="15" w:type="dxa"/>
            </w:tcMar>
            <w:vAlign w:val="center"/>
          </w:tcPr>
          <w:p w14:paraId="012615E0">
            <w:pPr>
              <w:jc w:val="center"/>
              <w:rPr>
                <w:rFonts w:ascii="宋体" w:hAnsi="宋体" w:cs="宋体"/>
                <w:snapToGrid w:val="0"/>
                <w:color w:val="000000"/>
                <w:kern w:val="0"/>
                <w:szCs w:val="21"/>
              </w:rPr>
            </w:pPr>
          </w:p>
        </w:tc>
        <w:tc>
          <w:tcPr>
            <w:tcW w:w="577" w:type="dxa"/>
            <w:vMerge w:val="continue"/>
            <w:tcBorders>
              <w:tl2br w:val="nil"/>
              <w:tr2bl w:val="nil"/>
            </w:tcBorders>
            <w:shd w:val="clear" w:color="auto" w:fill="auto"/>
            <w:noWrap/>
            <w:tcMar>
              <w:top w:w="15" w:type="dxa"/>
              <w:left w:w="15" w:type="dxa"/>
              <w:right w:w="15" w:type="dxa"/>
            </w:tcMar>
            <w:vAlign w:val="center"/>
          </w:tcPr>
          <w:p w14:paraId="198AC41D">
            <w:pPr>
              <w:widowControl/>
              <w:jc w:val="center"/>
              <w:rPr>
                <w:rFonts w:ascii="宋体" w:hAnsi="宋体" w:cs="宋体"/>
                <w:snapToGrid w:val="0"/>
                <w:color w:val="000000"/>
                <w:kern w:val="0"/>
                <w:szCs w:val="21"/>
                <w:lang w:eastAsia="en-US"/>
              </w:rPr>
            </w:pPr>
          </w:p>
        </w:tc>
        <w:tc>
          <w:tcPr>
            <w:tcW w:w="1489" w:type="dxa"/>
            <w:vMerge w:val="continue"/>
            <w:tcBorders>
              <w:tl2br w:val="nil"/>
              <w:tr2bl w:val="nil"/>
            </w:tcBorders>
            <w:shd w:val="clear" w:color="auto" w:fill="auto"/>
            <w:noWrap/>
            <w:tcMar>
              <w:top w:w="15" w:type="dxa"/>
              <w:left w:w="15" w:type="dxa"/>
              <w:right w:w="15" w:type="dxa"/>
            </w:tcMar>
            <w:vAlign w:val="center"/>
          </w:tcPr>
          <w:p w14:paraId="434BD64C">
            <w:pPr>
              <w:widowControl/>
              <w:jc w:val="center"/>
              <w:rPr>
                <w:rFonts w:ascii="宋体" w:hAnsi="宋体" w:cs="宋体"/>
                <w:snapToGrid w:val="0"/>
                <w:color w:val="000000"/>
                <w:kern w:val="0"/>
                <w:szCs w:val="21"/>
                <w:lang w:bidi="ar"/>
              </w:rPr>
            </w:pPr>
          </w:p>
        </w:tc>
        <w:tc>
          <w:tcPr>
            <w:tcW w:w="1529" w:type="dxa"/>
            <w:vMerge w:val="continue"/>
            <w:tcBorders>
              <w:tl2br w:val="nil"/>
              <w:tr2bl w:val="nil"/>
            </w:tcBorders>
            <w:shd w:val="clear" w:color="auto" w:fill="auto"/>
            <w:noWrap/>
            <w:tcMar>
              <w:top w:w="15" w:type="dxa"/>
              <w:left w:w="15" w:type="dxa"/>
              <w:right w:w="15" w:type="dxa"/>
            </w:tcMar>
            <w:vAlign w:val="center"/>
          </w:tcPr>
          <w:p w14:paraId="6FA1A99C">
            <w:pPr>
              <w:widowControl/>
              <w:jc w:val="center"/>
              <w:rPr>
                <w:rFonts w:ascii="宋体" w:hAnsi="宋体" w:cs="宋体"/>
                <w:snapToGrid w:val="0"/>
                <w:color w:val="000000"/>
                <w:kern w:val="0"/>
                <w:szCs w:val="21"/>
                <w:lang w:bidi="ar"/>
              </w:rPr>
            </w:pPr>
          </w:p>
        </w:tc>
      </w:tr>
      <w:tr w14:paraId="64C8386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1F04FE38">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54</w:t>
            </w:r>
          </w:p>
        </w:tc>
        <w:tc>
          <w:tcPr>
            <w:tcW w:w="1235" w:type="dxa"/>
            <w:tcBorders>
              <w:tl2br w:val="nil"/>
              <w:tr2bl w:val="nil"/>
            </w:tcBorders>
            <w:shd w:val="clear" w:color="auto" w:fill="auto"/>
            <w:noWrap/>
            <w:tcMar>
              <w:top w:w="15" w:type="dxa"/>
              <w:left w:w="15" w:type="dxa"/>
              <w:right w:w="15" w:type="dxa"/>
            </w:tcMar>
            <w:vAlign w:val="center"/>
          </w:tcPr>
          <w:p w14:paraId="18728B18">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A54942.0270</w:t>
            </w:r>
          </w:p>
        </w:tc>
        <w:tc>
          <w:tcPr>
            <w:tcW w:w="2930" w:type="dxa"/>
            <w:vMerge w:val="restart"/>
            <w:tcBorders>
              <w:tl2br w:val="nil"/>
              <w:tr2bl w:val="nil"/>
            </w:tcBorders>
            <w:shd w:val="clear" w:color="auto" w:fill="auto"/>
            <w:noWrap/>
            <w:tcMar>
              <w:top w:w="15" w:type="dxa"/>
              <w:left w:w="15" w:type="dxa"/>
              <w:right w:w="15" w:type="dxa"/>
            </w:tcMar>
            <w:vAlign w:val="center"/>
          </w:tcPr>
          <w:p w14:paraId="4AD14AC9">
            <w:pPr>
              <w:jc w:val="center"/>
              <w:rPr>
                <w:rFonts w:ascii="宋体" w:hAnsi="宋体" w:cs="宋体"/>
                <w:snapToGrid w:val="0"/>
                <w:color w:val="000000"/>
                <w:kern w:val="0"/>
                <w:szCs w:val="21"/>
              </w:rPr>
            </w:pPr>
            <w:r>
              <w:rPr>
                <w:rFonts w:hint="eastAsia" w:ascii="宋体" w:hAnsi="宋体" w:cs="宋体"/>
                <w:szCs w:val="21"/>
              </w:rPr>
              <w:t>更换</w:t>
            </w:r>
            <w:r>
              <w:rPr>
                <w:rFonts w:hint="eastAsia" w:ascii="宋体" w:hAnsi="宋体" w:cs="宋体"/>
                <w:color w:val="000000"/>
                <w:szCs w:val="21"/>
              </w:rPr>
              <w:t>起升油缸连接油管</w:t>
            </w:r>
          </w:p>
        </w:tc>
        <w:tc>
          <w:tcPr>
            <w:tcW w:w="577" w:type="dxa"/>
            <w:vMerge w:val="restart"/>
            <w:tcBorders>
              <w:tl2br w:val="nil"/>
              <w:tr2bl w:val="nil"/>
            </w:tcBorders>
            <w:shd w:val="clear" w:color="auto" w:fill="auto"/>
            <w:noWrap/>
            <w:tcMar>
              <w:top w:w="15" w:type="dxa"/>
              <w:left w:w="15" w:type="dxa"/>
              <w:right w:w="15" w:type="dxa"/>
            </w:tcMar>
            <w:vAlign w:val="center"/>
          </w:tcPr>
          <w:p w14:paraId="2666A376">
            <w:pPr>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2</w:t>
            </w:r>
          </w:p>
        </w:tc>
        <w:tc>
          <w:tcPr>
            <w:tcW w:w="1489" w:type="dxa"/>
            <w:vMerge w:val="restart"/>
            <w:tcBorders>
              <w:tl2br w:val="nil"/>
              <w:tr2bl w:val="nil"/>
            </w:tcBorders>
            <w:shd w:val="clear" w:color="auto" w:fill="auto"/>
            <w:noWrap/>
            <w:tcMar>
              <w:top w:w="15" w:type="dxa"/>
              <w:left w:w="15" w:type="dxa"/>
              <w:right w:w="15" w:type="dxa"/>
            </w:tcMar>
            <w:vAlign w:val="center"/>
          </w:tcPr>
          <w:p w14:paraId="0E4714A8">
            <w:pPr>
              <w:widowControl/>
              <w:jc w:val="center"/>
              <w:rPr>
                <w:rFonts w:ascii="宋体" w:hAnsi="宋体" w:cs="宋体"/>
                <w:snapToGrid w:val="0"/>
                <w:color w:val="000000"/>
                <w:kern w:val="0"/>
                <w:szCs w:val="21"/>
                <w:lang w:bidi="ar"/>
              </w:rPr>
            </w:pPr>
          </w:p>
        </w:tc>
        <w:tc>
          <w:tcPr>
            <w:tcW w:w="1529" w:type="dxa"/>
            <w:vMerge w:val="restart"/>
            <w:tcBorders>
              <w:tl2br w:val="nil"/>
              <w:tr2bl w:val="nil"/>
            </w:tcBorders>
            <w:shd w:val="clear" w:color="auto" w:fill="auto"/>
            <w:noWrap/>
            <w:tcMar>
              <w:top w:w="15" w:type="dxa"/>
              <w:left w:w="15" w:type="dxa"/>
              <w:right w:w="15" w:type="dxa"/>
            </w:tcMar>
            <w:vAlign w:val="center"/>
          </w:tcPr>
          <w:p w14:paraId="0D0726F2">
            <w:pPr>
              <w:widowControl/>
              <w:jc w:val="center"/>
              <w:rPr>
                <w:rFonts w:ascii="宋体" w:hAnsi="宋体" w:cs="宋体"/>
                <w:snapToGrid w:val="0"/>
                <w:color w:val="000000"/>
                <w:kern w:val="0"/>
                <w:szCs w:val="21"/>
                <w:lang w:bidi="ar"/>
              </w:rPr>
            </w:pPr>
          </w:p>
        </w:tc>
      </w:tr>
      <w:tr w14:paraId="3DFBF52C">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71D6E707">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55</w:t>
            </w:r>
          </w:p>
        </w:tc>
        <w:tc>
          <w:tcPr>
            <w:tcW w:w="1235" w:type="dxa"/>
            <w:tcBorders>
              <w:tl2br w:val="nil"/>
              <w:tr2bl w:val="nil"/>
            </w:tcBorders>
            <w:shd w:val="clear" w:color="auto" w:fill="auto"/>
            <w:noWrap/>
            <w:tcMar>
              <w:top w:w="15" w:type="dxa"/>
              <w:left w:w="15" w:type="dxa"/>
              <w:right w:w="15" w:type="dxa"/>
            </w:tcMar>
            <w:vAlign w:val="center"/>
          </w:tcPr>
          <w:p w14:paraId="58F318AE">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A54942.0260</w:t>
            </w:r>
          </w:p>
        </w:tc>
        <w:tc>
          <w:tcPr>
            <w:tcW w:w="2930" w:type="dxa"/>
            <w:vMerge w:val="continue"/>
            <w:tcBorders>
              <w:tl2br w:val="nil"/>
              <w:tr2bl w:val="nil"/>
            </w:tcBorders>
            <w:shd w:val="clear" w:color="auto" w:fill="auto"/>
            <w:noWrap/>
            <w:tcMar>
              <w:top w:w="15" w:type="dxa"/>
              <w:left w:w="15" w:type="dxa"/>
              <w:right w:w="15" w:type="dxa"/>
            </w:tcMar>
            <w:vAlign w:val="center"/>
          </w:tcPr>
          <w:p w14:paraId="0046934F">
            <w:pPr>
              <w:jc w:val="center"/>
              <w:rPr>
                <w:rFonts w:ascii="宋体" w:hAnsi="宋体" w:cs="宋体"/>
                <w:snapToGrid w:val="0"/>
                <w:color w:val="000000"/>
                <w:kern w:val="0"/>
                <w:szCs w:val="21"/>
              </w:rPr>
            </w:pPr>
          </w:p>
        </w:tc>
        <w:tc>
          <w:tcPr>
            <w:tcW w:w="577" w:type="dxa"/>
            <w:vMerge w:val="continue"/>
            <w:tcBorders>
              <w:tl2br w:val="nil"/>
              <w:tr2bl w:val="nil"/>
            </w:tcBorders>
            <w:shd w:val="clear" w:color="auto" w:fill="auto"/>
            <w:noWrap/>
            <w:tcMar>
              <w:top w:w="15" w:type="dxa"/>
              <w:left w:w="15" w:type="dxa"/>
              <w:right w:w="15" w:type="dxa"/>
            </w:tcMar>
            <w:vAlign w:val="center"/>
          </w:tcPr>
          <w:p w14:paraId="0F6538B0">
            <w:pPr>
              <w:widowControl/>
              <w:jc w:val="center"/>
              <w:rPr>
                <w:rFonts w:ascii="宋体" w:hAnsi="宋体" w:cs="宋体"/>
                <w:snapToGrid w:val="0"/>
                <w:color w:val="000000"/>
                <w:kern w:val="0"/>
                <w:szCs w:val="21"/>
                <w:lang w:eastAsia="en-US"/>
              </w:rPr>
            </w:pPr>
          </w:p>
        </w:tc>
        <w:tc>
          <w:tcPr>
            <w:tcW w:w="1489" w:type="dxa"/>
            <w:vMerge w:val="continue"/>
            <w:tcBorders>
              <w:tl2br w:val="nil"/>
              <w:tr2bl w:val="nil"/>
            </w:tcBorders>
            <w:shd w:val="clear" w:color="auto" w:fill="auto"/>
            <w:noWrap/>
            <w:tcMar>
              <w:top w:w="15" w:type="dxa"/>
              <w:left w:w="15" w:type="dxa"/>
              <w:right w:w="15" w:type="dxa"/>
            </w:tcMar>
            <w:vAlign w:val="center"/>
          </w:tcPr>
          <w:p w14:paraId="7F649D86">
            <w:pPr>
              <w:widowControl/>
              <w:jc w:val="center"/>
              <w:rPr>
                <w:rFonts w:ascii="宋体" w:hAnsi="宋体" w:cs="宋体"/>
                <w:snapToGrid w:val="0"/>
                <w:color w:val="000000"/>
                <w:kern w:val="0"/>
                <w:szCs w:val="21"/>
                <w:lang w:bidi="ar"/>
              </w:rPr>
            </w:pPr>
          </w:p>
        </w:tc>
        <w:tc>
          <w:tcPr>
            <w:tcW w:w="1529" w:type="dxa"/>
            <w:vMerge w:val="continue"/>
            <w:tcBorders>
              <w:tl2br w:val="nil"/>
              <w:tr2bl w:val="nil"/>
            </w:tcBorders>
            <w:shd w:val="clear" w:color="auto" w:fill="auto"/>
            <w:noWrap/>
            <w:tcMar>
              <w:top w:w="15" w:type="dxa"/>
              <w:left w:w="15" w:type="dxa"/>
              <w:right w:w="15" w:type="dxa"/>
            </w:tcMar>
            <w:vAlign w:val="center"/>
          </w:tcPr>
          <w:p w14:paraId="779F036E">
            <w:pPr>
              <w:widowControl/>
              <w:jc w:val="center"/>
              <w:rPr>
                <w:rFonts w:ascii="宋体" w:hAnsi="宋体" w:cs="宋体"/>
                <w:snapToGrid w:val="0"/>
                <w:color w:val="000000"/>
                <w:kern w:val="0"/>
                <w:szCs w:val="21"/>
                <w:lang w:bidi="ar"/>
              </w:rPr>
            </w:pPr>
          </w:p>
        </w:tc>
      </w:tr>
      <w:tr w14:paraId="17DF770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22488070">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56</w:t>
            </w:r>
          </w:p>
        </w:tc>
        <w:tc>
          <w:tcPr>
            <w:tcW w:w="1235" w:type="dxa"/>
            <w:tcBorders>
              <w:tl2br w:val="nil"/>
              <w:tr2bl w:val="nil"/>
            </w:tcBorders>
            <w:shd w:val="clear" w:color="auto" w:fill="auto"/>
            <w:noWrap/>
            <w:tcMar>
              <w:top w:w="15" w:type="dxa"/>
              <w:left w:w="15" w:type="dxa"/>
              <w:right w:w="15" w:type="dxa"/>
            </w:tcMar>
            <w:vAlign w:val="center"/>
          </w:tcPr>
          <w:p w14:paraId="07C0D5A4">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923978.1051</w:t>
            </w:r>
          </w:p>
        </w:tc>
        <w:tc>
          <w:tcPr>
            <w:tcW w:w="2930" w:type="dxa"/>
            <w:tcBorders>
              <w:tl2br w:val="nil"/>
              <w:tr2bl w:val="nil"/>
            </w:tcBorders>
            <w:noWrap/>
            <w:tcMar>
              <w:top w:w="15" w:type="dxa"/>
              <w:left w:w="15" w:type="dxa"/>
              <w:right w:w="15" w:type="dxa"/>
            </w:tcMar>
            <w:vAlign w:val="center"/>
          </w:tcPr>
          <w:p w14:paraId="1222BAD1">
            <w:pPr>
              <w:widowControl/>
              <w:wordWrap w:val="0"/>
              <w:jc w:val="center"/>
              <w:textAlignment w:val="bottom"/>
              <w:rPr>
                <w:rFonts w:ascii="宋体" w:hAnsi="宋体" w:cs="宋体"/>
                <w:szCs w:val="21"/>
              </w:rPr>
            </w:pPr>
            <w:r>
              <w:rPr>
                <w:rFonts w:hint="eastAsia" w:ascii="宋体" w:hAnsi="宋体" w:cs="宋体"/>
                <w:szCs w:val="21"/>
              </w:rPr>
              <w:t>更换内门架起升油缸修理包</w:t>
            </w:r>
          </w:p>
          <w:p w14:paraId="64CE011A">
            <w:pPr>
              <w:widowControl/>
              <w:wordWrap w:val="0"/>
              <w:jc w:val="center"/>
              <w:textAlignment w:val="bottom"/>
              <w:rPr>
                <w:rFonts w:ascii="宋体" w:hAnsi="宋体" w:cs="宋体"/>
                <w:color w:val="000000"/>
                <w:szCs w:val="21"/>
              </w:rPr>
            </w:pPr>
            <w:r>
              <w:rPr>
                <w:rFonts w:hint="eastAsia" w:ascii="宋体" w:hAnsi="宋体" w:cs="宋体"/>
                <w:szCs w:val="21"/>
              </w:rPr>
              <w:t>▲（推荐进口品牌：NOK、HALLITE、FAG</w:t>
            </w:r>
            <w:r>
              <w:rPr>
                <w:rFonts w:hint="eastAsia" w:ascii="宋体" w:hAnsi="宋体" w:cs="宋体"/>
                <w:szCs w:val="21"/>
                <w:lang w:bidi="ar"/>
              </w:rPr>
              <w:t>或</w:t>
            </w:r>
            <w:r>
              <w:rPr>
                <w:rFonts w:hint="eastAsia" w:ascii="宋体" w:hAnsi="宋体" w:cs="宋体"/>
                <w:szCs w:val="21"/>
                <w:lang w:eastAsia="zh-CN" w:bidi="ar"/>
              </w:rPr>
              <w:t>相当于</w:t>
            </w:r>
            <w:r>
              <w:rPr>
                <w:rFonts w:hint="eastAsia" w:ascii="宋体" w:hAnsi="宋体" w:cs="宋体"/>
                <w:szCs w:val="21"/>
              </w:rPr>
              <w:t>）</w:t>
            </w:r>
          </w:p>
        </w:tc>
        <w:tc>
          <w:tcPr>
            <w:tcW w:w="577" w:type="dxa"/>
            <w:tcBorders>
              <w:tl2br w:val="nil"/>
              <w:tr2bl w:val="nil"/>
            </w:tcBorders>
            <w:shd w:val="clear" w:color="auto" w:fill="auto"/>
            <w:noWrap/>
            <w:tcMar>
              <w:top w:w="15" w:type="dxa"/>
              <w:left w:w="15" w:type="dxa"/>
              <w:right w:w="15" w:type="dxa"/>
            </w:tcMar>
            <w:vAlign w:val="center"/>
          </w:tcPr>
          <w:p w14:paraId="3EC89DA4">
            <w:pPr>
              <w:widowControl/>
              <w:jc w:val="center"/>
              <w:rPr>
                <w:rFonts w:ascii="宋体" w:hAnsi="宋体" w:cs="宋体"/>
                <w:color w:val="000000"/>
                <w:szCs w:val="21"/>
              </w:rPr>
            </w:pPr>
            <w:r>
              <w:rPr>
                <w:rFonts w:hint="eastAsia" w:ascii="宋体" w:hAnsi="宋体" w:cs="宋体"/>
                <w:snapToGrid w:val="0"/>
                <w:color w:val="000000"/>
                <w:kern w:val="0"/>
                <w:szCs w:val="21"/>
                <w:lang w:bidi="ar"/>
              </w:rPr>
              <w:t>2</w:t>
            </w:r>
          </w:p>
        </w:tc>
        <w:tc>
          <w:tcPr>
            <w:tcW w:w="1489" w:type="dxa"/>
            <w:tcBorders>
              <w:tl2br w:val="nil"/>
              <w:tr2bl w:val="nil"/>
            </w:tcBorders>
            <w:shd w:val="clear" w:color="auto" w:fill="auto"/>
            <w:noWrap/>
            <w:tcMar>
              <w:top w:w="15" w:type="dxa"/>
              <w:left w:w="15" w:type="dxa"/>
              <w:right w:w="15" w:type="dxa"/>
            </w:tcMar>
            <w:vAlign w:val="center"/>
          </w:tcPr>
          <w:p w14:paraId="400CDBE5">
            <w:pPr>
              <w:jc w:val="center"/>
              <w:rPr>
                <w:rFonts w:ascii="宋体" w:hAnsi="宋体" w:cs="宋体"/>
                <w:snapToGrid w:val="0"/>
                <w:color w:val="000000"/>
                <w:kern w:val="0"/>
                <w:szCs w:val="21"/>
                <w:lang w:bidi="ar"/>
              </w:rPr>
            </w:pPr>
          </w:p>
        </w:tc>
        <w:tc>
          <w:tcPr>
            <w:tcW w:w="1529" w:type="dxa"/>
            <w:tcBorders>
              <w:tl2br w:val="nil"/>
              <w:tr2bl w:val="nil"/>
            </w:tcBorders>
            <w:shd w:val="clear" w:color="auto" w:fill="auto"/>
            <w:noWrap/>
            <w:tcMar>
              <w:top w:w="15" w:type="dxa"/>
              <w:left w:w="15" w:type="dxa"/>
              <w:right w:w="15" w:type="dxa"/>
            </w:tcMar>
            <w:vAlign w:val="center"/>
          </w:tcPr>
          <w:p w14:paraId="002E94B5">
            <w:pPr>
              <w:jc w:val="center"/>
              <w:rPr>
                <w:rFonts w:ascii="宋体" w:hAnsi="宋体" w:cs="宋体"/>
                <w:snapToGrid w:val="0"/>
                <w:color w:val="000000"/>
                <w:kern w:val="0"/>
                <w:szCs w:val="21"/>
                <w:lang w:bidi="ar"/>
              </w:rPr>
            </w:pPr>
          </w:p>
        </w:tc>
      </w:tr>
      <w:tr w14:paraId="55A6FC09">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15B81D37">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57</w:t>
            </w:r>
          </w:p>
        </w:tc>
        <w:tc>
          <w:tcPr>
            <w:tcW w:w="1235" w:type="dxa"/>
            <w:tcBorders>
              <w:tl2br w:val="nil"/>
              <w:tr2bl w:val="nil"/>
            </w:tcBorders>
            <w:shd w:val="clear" w:color="auto" w:fill="auto"/>
            <w:noWrap/>
            <w:tcMar>
              <w:top w:w="15" w:type="dxa"/>
              <w:left w:w="15" w:type="dxa"/>
              <w:right w:w="15" w:type="dxa"/>
            </w:tcMar>
            <w:vAlign w:val="center"/>
          </w:tcPr>
          <w:p w14:paraId="1905CD1E">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924472.0009</w:t>
            </w:r>
          </w:p>
        </w:tc>
        <w:tc>
          <w:tcPr>
            <w:tcW w:w="2930" w:type="dxa"/>
            <w:tcBorders>
              <w:tl2br w:val="nil"/>
              <w:tr2bl w:val="nil"/>
            </w:tcBorders>
            <w:noWrap/>
            <w:tcMar>
              <w:top w:w="15" w:type="dxa"/>
              <w:left w:w="15" w:type="dxa"/>
              <w:right w:w="15" w:type="dxa"/>
            </w:tcMar>
            <w:vAlign w:val="center"/>
          </w:tcPr>
          <w:p w14:paraId="0828AD5E">
            <w:pPr>
              <w:widowControl/>
              <w:wordWrap w:val="0"/>
              <w:jc w:val="center"/>
              <w:textAlignment w:val="bottom"/>
              <w:rPr>
                <w:rFonts w:ascii="宋体" w:hAnsi="宋体" w:cs="宋体"/>
                <w:szCs w:val="21"/>
              </w:rPr>
            </w:pPr>
            <w:r>
              <w:rPr>
                <w:rFonts w:hint="eastAsia" w:ascii="宋体" w:hAnsi="宋体" w:cs="宋体"/>
                <w:szCs w:val="21"/>
              </w:rPr>
              <w:t>更换牌坊起升油缸总成</w:t>
            </w:r>
          </w:p>
          <w:p w14:paraId="29562FCA">
            <w:pPr>
              <w:widowControl/>
              <w:wordWrap w:val="0"/>
              <w:jc w:val="center"/>
              <w:textAlignment w:val="bottom"/>
              <w:rPr>
                <w:rFonts w:ascii="宋体" w:hAnsi="宋体" w:cs="宋体"/>
                <w:color w:val="000000"/>
                <w:szCs w:val="21"/>
              </w:rPr>
            </w:pPr>
            <w:r>
              <w:rPr>
                <w:rFonts w:hint="eastAsia" w:ascii="宋体" w:hAnsi="宋体" w:cs="宋体"/>
                <w:szCs w:val="21"/>
              </w:rPr>
              <w:t>★（</w:t>
            </w:r>
            <w:r>
              <w:rPr>
                <w:rFonts w:hint="eastAsia"/>
              </w:rPr>
              <w:t>项目维修改造完成后，内外门架总成更换项目验收前中标人须</w:t>
            </w:r>
            <w:r>
              <w:rPr>
                <w:rFonts w:hint="eastAsia" w:ascii="宋体" w:hAnsi="宋体" w:cs="宋体"/>
                <w:szCs w:val="21"/>
              </w:rPr>
              <w:t>卡尔玛原厂件并提供出厂合格证）</w:t>
            </w:r>
          </w:p>
        </w:tc>
        <w:tc>
          <w:tcPr>
            <w:tcW w:w="577" w:type="dxa"/>
            <w:tcBorders>
              <w:tl2br w:val="nil"/>
              <w:tr2bl w:val="nil"/>
            </w:tcBorders>
            <w:shd w:val="clear" w:color="auto" w:fill="auto"/>
            <w:noWrap/>
            <w:tcMar>
              <w:top w:w="15" w:type="dxa"/>
              <w:left w:w="15" w:type="dxa"/>
              <w:right w:w="15" w:type="dxa"/>
            </w:tcMar>
            <w:vAlign w:val="center"/>
          </w:tcPr>
          <w:p w14:paraId="428EB128">
            <w:pPr>
              <w:widowControl/>
              <w:jc w:val="center"/>
              <w:rPr>
                <w:rFonts w:ascii="宋体" w:hAnsi="宋体" w:cs="宋体"/>
                <w:color w:val="000000"/>
                <w:szCs w:val="21"/>
              </w:rPr>
            </w:pPr>
            <w:r>
              <w:rPr>
                <w:rFonts w:hint="eastAsia" w:ascii="宋体" w:hAnsi="宋体" w:cs="宋体"/>
                <w:snapToGrid w:val="0"/>
                <w:color w:val="000000"/>
                <w:kern w:val="0"/>
                <w:szCs w:val="21"/>
                <w:lang w:bidi="ar"/>
              </w:rPr>
              <w:t>2</w:t>
            </w:r>
          </w:p>
        </w:tc>
        <w:tc>
          <w:tcPr>
            <w:tcW w:w="1489" w:type="dxa"/>
            <w:tcBorders>
              <w:tl2br w:val="nil"/>
              <w:tr2bl w:val="nil"/>
            </w:tcBorders>
            <w:shd w:val="clear" w:color="auto" w:fill="auto"/>
            <w:noWrap/>
            <w:tcMar>
              <w:top w:w="15" w:type="dxa"/>
              <w:left w:w="15" w:type="dxa"/>
              <w:right w:w="15" w:type="dxa"/>
            </w:tcMar>
            <w:vAlign w:val="center"/>
          </w:tcPr>
          <w:p w14:paraId="53BE4434">
            <w:pPr>
              <w:jc w:val="center"/>
              <w:rPr>
                <w:rFonts w:ascii="宋体" w:hAnsi="宋体" w:cs="宋体"/>
                <w:color w:val="000000"/>
                <w:szCs w:val="21"/>
              </w:rPr>
            </w:pPr>
          </w:p>
        </w:tc>
        <w:tc>
          <w:tcPr>
            <w:tcW w:w="1529" w:type="dxa"/>
            <w:tcBorders>
              <w:tl2br w:val="nil"/>
              <w:tr2bl w:val="nil"/>
            </w:tcBorders>
            <w:shd w:val="clear" w:color="auto" w:fill="auto"/>
            <w:noWrap/>
            <w:tcMar>
              <w:top w:w="15" w:type="dxa"/>
              <w:left w:w="15" w:type="dxa"/>
              <w:right w:w="15" w:type="dxa"/>
            </w:tcMar>
            <w:vAlign w:val="center"/>
          </w:tcPr>
          <w:p w14:paraId="50F58F45">
            <w:pPr>
              <w:jc w:val="center"/>
              <w:rPr>
                <w:rFonts w:ascii="宋体" w:hAnsi="宋体" w:cs="宋体"/>
                <w:color w:val="000000"/>
                <w:szCs w:val="21"/>
              </w:rPr>
            </w:pPr>
          </w:p>
        </w:tc>
      </w:tr>
      <w:tr w14:paraId="6024ADCD">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425E5986">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58</w:t>
            </w:r>
          </w:p>
        </w:tc>
        <w:tc>
          <w:tcPr>
            <w:tcW w:w="1235" w:type="dxa"/>
            <w:tcBorders>
              <w:tl2br w:val="nil"/>
              <w:tr2bl w:val="nil"/>
            </w:tcBorders>
            <w:shd w:val="clear" w:color="auto" w:fill="auto"/>
            <w:noWrap/>
            <w:tcMar>
              <w:top w:w="15" w:type="dxa"/>
              <w:left w:w="15" w:type="dxa"/>
              <w:right w:w="15" w:type="dxa"/>
            </w:tcMar>
            <w:vAlign w:val="center"/>
          </w:tcPr>
          <w:p w14:paraId="47E0244C">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920744.0019</w:t>
            </w:r>
          </w:p>
        </w:tc>
        <w:tc>
          <w:tcPr>
            <w:tcW w:w="2930" w:type="dxa"/>
            <w:tcBorders>
              <w:tl2br w:val="nil"/>
              <w:tr2bl w:val="nil"/>
            </w:tcBorders>
            <w:noWrap/>
            <w:tcMar>
              <w:top w:w="15" w:type="dxa"/>
              <w:left w:w="15" w:type="dxa"/>
              <w:right w:w="15" w:type="dxa"/>
            </w:tcMar>
            <w:vAlign w:val="center"/>
          </w:tcPr>
          <w:p w14:paraId="1F325EE4">
            <w:pPr>
              <w:widowControl/>
              <w:wordWrap w:val="0"/>
              <w:jc w:val="center"/>
              <w:textAlignment w:val="bottom"/>
              <w:rPr>
                <w:rFonts w:ascii="宋体" w:hAnsi="宋体" w:cs="宋体"/>
                <w:szCs w:val="21"/>
              </w:rPr>
            </w:pPr>
            <w:r>
              <w:rPr>
                <w:rFonts w:hint="eastAsia" w:ascii="宋体" w:hAnsi="宋体" w:cs="宋体"/>
                <w:szCs w:val="21"/>
              </w:rPr>
              <w:t>更换平移油缸修理包</w:t>
            </w:r>
          </w:p>
          <w:p w14:paraId="2EE1C53C">
            <w:pPr>
              <w:widowControl/>
              <w:wordWrap w:val="0"/>
              <w:jc w:val="center"/>
              <w:textAlignment w:val="bottom"/>
              <w:rPr>
                <w:rFonts w:ascii="宋体" w:hAnsi="宋体" w:cs="宋体"/>
                <w:color w:val="000000"/>
                <w:szCs w:val="21"/>
              </w:rPr>
            </w:pPr>
            <w:r>
              <w:rPr>
                <w:rFonts w:hint="eastAsia" w:ascii="宋体" w:hAnsi="宋体" w:cs="宋体"/>
                <w:szCs w:val="21"/>
              </w:rPr>
              <w:t>▲（推荐进口品牌：NOK、HALLITE、FAG</w:t>
            </w:r>
            <w:r>
              <w:rPr>
                <w:rFonts w:hint="eastAsia" w:ascii="宋体" w:hAnsi="宋体" w:cs="宋体"/>
                <w:szCs w:val="21"/>
                <w:lang w:bidi="ar"/>
              </w:rPr>
              <w:t>或</w:t>
            </w:r>
            <w:r>
              <w:rPr>
                <w:rFonts w:hint="eastAsia" w:ascii="宋体" w:hAnsi="宋体" w:cs="宋体"/>
                <w:szCs w:val="21"/>
                <w:lang w:eastAsia="zh-CN" w:bidi="ar"/>
              </w:rPr>
              <w:t>相当于</w:t>
            </w:r>
            <w:r>
              <w:rPr>
                <w:rFonts w:hint="eastAsia" w:ascii="宋体" w:hAnsi="宋体" w:cs="宋体"/>
                <w:szCs w:val="21"/>
              </w:rPr>
              <w:t>）</w:t>
            </w:r>
          </w:p>
        </w:tc>
        <w:tc>
          <w:tcPr>
            <w:tcW w:w="577" w:type="dxa"/>
            <w:tcBorders>
              <w:tl2br w:val="nil"/>
              <w:tr2bl w:val="nil"/>
            </w:tcBorders>
            <w:shd w:val="clear" w:color="auto" w:fill="auto"/>
            <w:noWrap/>
            <w:tcMar>
              <w:top w:w="15" w:type="dxa"/>
              <w:left w:w="15" w:type="dxa"/>
              <w:right w:w="15" w:type="dxa"/>
            </w:tcMar>
            <w:vAlign w:val="center"/>
          </w:tcPr>
          <w:p w14:paraId="03E5EA5C">
            <w:pPr>
              <w:widowControl/>
              <w:jc w:val="center"/>
              <w:rPr>
                <w:rFonts w:ascii="宋体" w:hAnsi="宋体" w:cs="宋体"/>
                <w:color w:val="000000"/>
                <w:szCs w:val="21"/>
              </w:rPr>
            </w:pPr>
            <w:r>
              <w:rPr>
                <w:rFonts w:hint="eastAsia" w:ascii="宋体" w:hAnsi="宋体" w:cs="宋体"/>
                <w:snapToGrid w:val="0"/>
                <w:color w:val="000000"/>
                <w:kern w:val="0"/>
                <w:szCs w:val="21"/>
                <w:lang w:bidi="ar"/>
              </w:rPr>
              <w:t>2</w:t>
            </w:r>
          </w:p>
        </w:tc>
        <w:tc>
          <w:tcPr>
            <w:tcW w:w="1489" w:type="dxa"/>
            <w:tcBorders>
              <w:tl2br w:val="nil"/>
              <w:tr2bl w:val="nil"/>
            </w:tcBorders>
            <w:shd w:val="clear" w:color="auto" w:fill="auto"/>
            <w:noWrap/>
            <w:tcMar>
              <w:top w:w="15" w:type="dxa"/>
              <w:left w:w="15" w:type="dxa"/>
              <w:right w:w="15" w:type="dxa"/>
            </w:tcMar>
            <w:vAlign w:val="center"/>
          </w:tcPr>
          <w:p w14:paraId="478C56FF">
            <w:pPr>
              <w:jc w:val="center"/>
              <w:rPr>
                <w:rFonts w:ascii="宋体" w:hAnsi="宋体" w:cs="宋体"/>
                <w:color w:val="000000"/>
                <w:szCs w:val="21"/>
              </w:rPr>
            </w:pPr>
          </w:p>
        </w:tc>
        <w:tc>
          <w:tcPr>
            <w:tcW w:w="1529" w:type="dxa"/>
            <w:tcBorders>
              <w:tl2br w:val="nil"/>
              <w:tr2bl w:val="nil"/>
            </w:tcBorders>
            <w:shd w:val="clear" w:color="auto" w:fill="auto"/>
            <w:noWrap/>
            <w:tcMar>
              <w:top w:w="15" w:type="dxa"/>
              <w:left w:w="15" w:type="dxa"/>
              <w:right w:w="15" w:type="dxa"/>
            </w:tcMar>
            <w:vAlign w:val="center"/>
          </w:tcPr>
          <w:p w14:paraId="79136266">
            <w:pPr>
              <w:jc w:val="center"/>
              <w:rPr>
                <w:rFonts w:ascii="宋体" w:hAnsi="宋体" w:cs="宋体"/>
                <w:color w:val="000000"/>
                <w:szCs w:val="21"/>
              </w:rPr>
            </w:pPr>
          </w:p>
        </w:tc>
      </w:tr>
      <w:tr w14:paraId="4195B615">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21D5D800">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59</w:t>
            </w:r>
          </w:p>
        </w:tc>
        <w:tc>
          <w:tcPr>
            <w:tcW w:w="1235" w:type="dxa"/>
            <w:tcBorders>
              <w:tl2br w:val="nil"/>
              <w:tr2bl w:val="nil"/>
            </w:tcBorders>
            <w:shd w:val="clear" w:color="auto" w:fill="auto"/>
            <w:noWrap/>
            <w:tcMar>
              <w:top w:w="15" w:type="dxa"/>
              <w:left w:w="15" w:type="dxa"/>
              <w:right w:w="15" w:type="dxa"/>
            </w:tcMar>
            <w:vAlign w:val="center"/>
          </w:tcPr>
          <w:p w14:paraId="48E1DFC9">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923978.1027</w:t>
            </w:r>
          </w:p>
        </w:tc>
        <w:tc>
          <w:tcPr>
            <w:tcW w:w="2930" w:type="dxa"/>
            <w:tcBorders>
              <w:tl2br w:val="nil"/>
              <w:tr2bl w:val="nil"/>
            </w:tcBorders>
            <w:noWrap/>
            <w:tcMar>
              <w:top w:w="15" w:type="dxa"/>
              <w:left w:w="15" w:type="dxa"/>
              <w:right w:w="15" w:type="dxa"/>
            </w:tcMar>
            <w:vAlign w:val="center"/>
          </w:tcPr>
          <w:p w14:paraId="199A07EA">
            <w:pPr>
              <w:widowControl/>
              <w:wordWrap w:val="0"/>
              <w:jc w:val="center"/>
              <w:textAlignment w:val="bottom"/>
              <w:rPr>
                <w:rFonts w:ascii="宋体" w:hAnsi="宋体" w:cs="宋体"/>
                <w:szCs w:val="21"/>
              </w:rPr>
            </w:pPr>
            <w:r>
              <w:rPr>
                <w:rFonts w:hint="eastAsia" w:ascii="宋体" w:hAnsi="宋体" w:cs="宋体"/>
                <w:szCs w:val="21"/>
              </w:rPr>
              <w:t>更换倾斜油缸修理包</w:t>
            </w:r>
          </w:p>
          <w:p w14:paraId="3A98AFAB">
            <w:pPr>
              <w:widowControl/>
              <w:wordWrap w:val="0"/>
              <w:jc w:val="center"/>
              <w:textAlignment w:val="bottom"/>
              <w:rPr>
                <w:rFonts w:ascii="宋体" w:hAnsi="宋体" w:cs="宋体"/>
                <w:color w:val="000000"/>
                <w:szCs w:val="21"/>
              </w:rPr>
            </w:pPr>
            <w:r>
              <w:rPr>
                <w:rFonts w:hint="eastAsia" w:ascii="宋体" w:hAnsi="宋体" w:cs="宋体"/>
                <w:szCs w:val="21"/>
              </w:rPr>
              <w:t>▲（推荐进口品牌：NOK、HALLITE、FAG</w:t>
            </w:r>
            <w:r>
              <w:rPr>
                <w:rFonts w:hint="eastAsia" w:ascii="宋体" w:hAnsi="宋体" w:cs="宋体"/>
                <w:szCs w:val="21"/>
                <w:lang w:bidi="ar"/>
              </w:rPr>
              <w:t>或</w:t>
            </w:r>
            <w:r>
              <w:rPr>
                <w:rFonts w:hint="eastAsia" w:ascii="宋体" w:hAnsi="宋体" w:cs="宋体"/>
                <w:szCs w:val="21"/>
                <w:lang w:eastAsia="zh-CN" w:bidi="ar"/>
              </w:rPr>
              <w:t>相当于</w:t>
            </w:r>
            <w:r>
              <w:rPr>
                <w:rFonts w:hint="eastAsia" w:ascii="宋体" w:hAnsi="宋体" w:cs="宋体"/>
                <w:szCs w:val="21"/>
              </w:rPr>
              <w:t>）</w:t>
            </w:r>
          </w:p>
        </w:tc>
        <w:tc>
          <w:tcPr>
            <w:tcW w:w="577" w:type="dxa"/>
            <w:tcBorders>
              <w:tl2br w:val="nil"/>
              <w:tr2bl w:val="nil"/>
            </w:tcBorders>
            <w:shd w:val="clear" w:color="auto" w:fill="auto"/>
            <w:noWrap/>
            <w:tcMar>
              <w:top w:w="15" w:type="dxa"/>
              <w:left w:w="15" w:type="dxa"/>
              <w:right w:w="15" w:type="dxa"/>
            </w:tcMar>
            <w:vAlign w:val="center"/>
          </w:tcPr>
          <w:p w14:paraId="5DE2F561">
            <w:pPr>
              <w:widowControl/>
              <w:jc w:val="center"/>
              <w:rPr>
                <w:rFonts w:ascii="宋体" w:hAnsi="宋体" w:cs="宋体"/>
                <w:snapToGrid w:val="0"/>
                <w:color w:val="000000"/>
                <w:kern w:val="0"/>
                <w:szCs w:val="21"/>
                <w:lang w:eastAsia="en-US"/>
              </w:rPr>
            </w:pPr>
            <w:r>
              <w:rPr>
                <w:rFonts w:hint="eastAsia" w:ascii="宋体" w:hAnsi="宋体" w:cs="宋体"/>
                <w:snapToGrid w:val="0"/>
                <w:color w:val="000000"/>
                <w:kern w:val="0"/>
                <w:szCs w:val="21"/>
                <w:lang w:bidi="ar"/>
              </w:rPr>
              <w:t>2</w:t>
            </w:r>
          </w:p>
        </w:tc>
        <w:tc>
          <w:tcPr>
            <w:tcW w:w="1489" w:type="dxa"/>
            <w:tcBorders>
              <w:tl2br w:val="nil"/>
              <w:tr2bl w:val="nil"/>
            </w:tcBorders>
            <w:shd w:val="clear" w:color="auto" w:fill="auto"/>
            <w:noWrap/>
            <w:tcMar>
              <w:top w:w="15" w:type="dxa"/>
              <w:left w:w="15" w:type="dxa"/>
              <w:right w:w="15" w:type="dxa"/>
            </w:tcMar>
            <w:vAlign w:val="center"/>
          </w:tcPr>
          <w:p w14:paraId="16C28C73">
            <w:pPr>
              <w:widowControl/>
              <w:jc w:val="center"/>
              <w:rPr>
                <w:rFonts w:ascii="宋体" w:hAnsi="宋体" w:cs="宋体"/>
                <w:snapToGrid w:val="0"/>
                <w:color w:val="000000"/>
                <w:kern w:val="0"/>
                <w:szCs w:val="21"/>
                <w:lang w:eastAsia="en-US"/>
              </w:rPr>
            </w:pPr>
          </w:p>
        </w:tc>
        <w:tc>
          <w:tcPr>
            <w:tcW w:w="1529" w:type="dxa"/>
            <w:tcBorders>
              <w:tl2br w:val="nil"/>
              <w:tr2bl w:val="nil"/>
            </w:tcBorders>
            <w:shd w:val="clear" w:color="auto" w:fill="auto"/>
            <w:noWrap/>
            <w:tcMar>
              <w:top w:w="15" w:type="dxa"/>
              <w:left w:w="15" w:type="dxa"/>
              <w:right w:w="15" w:type="dxa"/>
            </w:tcMar>
            <w:vAlign w:val="center"/>
          </w:tcPr>
          <w:p w14:paraId="0419FB5F">
            <w:pPr>
              <w:widowControl/>
              <w:jc w:val="center"/>
              <w:rPr>
                <w:rFonts w:ascii="宋体" w:hAnsi="宋体" w:cs="宋体"/>
                <w:snapToGrid w:val="0"/>
                <w:color w:val="000000"/>
                <w:kern w:val="0"/>
                <w:szCs w:val="21"/>
                <w:lang w:eastAsia="en-US"/>
              </w:rPr>
            </w:pPr>
          </w:p>
        </w:tc>
      </w:tr>
      <w:tr w14:paraId="5CDCF8F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685EAD2B">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60</w:t>
            </w:r>
          </w:p>
        </w:tc>
        <w:tc>
          <w:tcPr>
            <w:tcW w:w="1235" w:type="dxa"/>
            <w:tcBorders>
              <w:tl2br w:val="nil"/>
              <w:tr2bl w:val="nil"/>
            </w:tcBorders>
            <w:shd w:val="clear" w:color="auto" w:fill="auto"/>
            <w:noWrap/>
            <w:tcMar>
              <w:top w:w="15" w:type="dxa"/>
              <w:left w:w="15" w:type="dxa"/>
              <w:right w:w="15" w:type="dxa"/>
            </w:tcMar>
            <w:vAlign w:val="center"/>
          </w:tcPr>
          <w:p w14:paraId="6EF74567">
            <w:pPr>
              <w:widowControl/>
              <w:jc w:val="center"/>
              <w:rPr>
                <w:rFonts w:ascii="宋体" w:hAnsi="宋体" w:cs="宋体"/>
                <w:snapToGrid w:val="0"/>
                <w:color w:val="000000"/>
                <w:kern w:val="0"/>
                <w:szCs w:val="21"/>
                <w:lang w:bidi="ar"/>
              </w:rPr>
            </w:pPr>
            <w:r>
              <w:rPr>
                <w:rFonts w:hint="eastAsia" w:ascii="宋体" w:hAnsi="宋体" w:cs="宋体"/>
                <w:snapToGrid w:val="0"/>
                <w:color w:val="000000"/>
                <w:kern w:val="0"/>
                <w:szCs w:val="21"/>
                <w:lang w:bidi="ar"/>
              </w:rPr>
              <w:t>N00163.1700</w:t>
            </w:r>
          </w:p>
        </w:tc>
        <w:tc>
          <w:tcPr>
            <w:tcW w:w="2930" w:type="dxa"/>
            <w:tcBorders>
              <w:tl2br w:val="nil"/>
              <w:tr2bl w:val="nil"/>
            </w:tcBorders>
            <w:noWrap/>
            <w:tcMar>
              <w:top w:w="15" w:type="dxa"/>
              <w:left w:w="15" w:type="dxa"/>
              <w:right w:w="15" w:type="dxa"/>
            </w:tcMar>
            <w:vAlign w:val="center"/>
          </w:tcPr>
          <w:p w14:paraId="44CA8D1E">
            <w:pPr>
              <w:widowControl/>
              <w:wordWrap w:val="0"/>
              <w:jc w:val="center"/>
              <w:textAlignment w:val="bottom"/>
              <w:rPr>
                <w:rFonts w:ascii="宋体" w:hAnsi="宋体" w:cs="宋体"/>
                <w:szCs w:val="21"/>
              </w:rPr>
            </w:pPr>
            <w:r>
              <w:rPr>
                <w:rFonts w:hint="eastAsia" w:ascii="宋体" w:hAnsi="宋体" w:cs="宋体"/>
                <w:szCs w:val="21"/>
              </w:rPr>
              <w:t>更转向油缸修理包</w:t>
            </w:r>
          </w:p>
          <w:p w14:paraId="71623370">
            <w:pPr>
              <w:widowControl/>
              <w:wordWrap w:val="0"/>
              <w:jc w:val="center"/>
              <w:textAlignment w:val="bottom"/>
              <w:rPr>
                <w:rFonts w:ascii="宋体" w:hAnsi="宋体" w:cs="宋体"/>
                <w:color w:val="000000"/>
                <w:szCs w:val="21"/>
              </w:rPr>
            </w:pPr>
            <w:r>
              <w:rPr>
                <w:rFonts w:hint="eastAsia" w:ascii="宋体" w:hAnsi="宋体" w:cs="宋体"/>
                <w:szCs w:val="21"/>
              </w:rPr>
              <w:t>▲（推荐进口品牌：NOK、HALLITE、FAG</w:t>
            </w:r>
            <w:r>
              <w:rPr>
                <w:rFonts w:hint="eastAsia" w:ascii="宋体" w:hAnsi="宋体" w:cs="宋体"/>
                <w:szCs w:val="21"/>
                <w:lang w:bidi="ar"/>
              </w:rPr>
              <w:t>或</w:t>
            </w:r>
            <w:r>
              <w:rPr>
                <w:rFonts w:hint="eastAsia" w:ascii="宋体" w:hAnsi="宋体" w:cs="宋体"/>
                <w:szCs w:val="21"/>
                <w:lang w:eastAsia="zh-CN" w:bidi="ar"/>
              </w:rPr>
              <w:t>相当于</w:t>
            </w:r>
            <w:r>
              <w:rPr>
                <w:rFonts w:hint="eastAsia" w:ascii="宋体" w:hAnsi="宋体" w:cs="宋体"/>
                <w:szCs w:val="21"/>
              </w:rPr>
              <w:t>）</w:t>
            </w:r>
          </w:p>
        </w:tc>
        <w:tc>
          <w:tcPr>
            <w:tcW w:w="577" w:type="dxa"/>
            <w:tcBorders>
              <w:tl2br w:val="nil"/>
              <w:tr2bl w:val="nil"/>
            </w:tcBorders>
            <w:shd w:val="clear" w:color="auto" w:fill="auto"/>
            <w:noWrap/>
            <w:tcMar>
              <w:top w:w="15" w:type="dxa"/>
              <w:left w:w="15" w:type="dxa"/>
              <w:right w:w="15" w:type="dxa"/>
            </w:tcMar>
            <w:vAlign w:val="center"/>
          </w:tcPr>
          <w:p w14:paraId="265E0AA8">
            <w:pPr>
              <w:widowControl/>
              <w:jc w:val="center"/>
              <w:rPr>
                <w:rFonts w:ascii="宋体" w:hAnsi="宋体" w:cs="宋体"/>
                <w:color w:val="000000"/>
                <w:szCs w:val="21"/>
              </w:rPr>
            </w:pPr>
            <w:r>
              <w:rPr>
                <w:rFonts w:hint="eastAsia" w:ascii="宋体" w:hAnsi="宋体" w:cs="宋体"/>
                <w:snapToGrid w:val="0"/>
                <w:color w:val="000000"/>
                <w:kern w:val="0"/>
                <w:szCs w:val="21"/>
                <w:lang w:bidi="ar"/>
              </w:rPr>
              <w:t>1</w:t>
            </w:r>
          </w:p>
        </w:tc>
        <w:tc>
          <w:tcPr>
            <w:tcW w:w="1489" w:type="dxa"/>
            <w:tcBorders>
              <w:tl2br w:val="nil"/>
              <w:tr2bl w:val="nil"/>
            </w:tcBorders>
            <w:shd w:val="clear" w:color="auto" w:fill="auto"/>
            <w:noWrap/>
            <w:tcMar>
              <w:top w:w="15" w:type="dxa"/>
              <w:left w:w="15" w:type="dxa"/>
              <w:right w:w="15" w:type="dxa"/>
            </w:tcMar>
            <w:vAlign w:val="center"/>
          </w:tcPr>
          <w:p w14:paraId="21793A91">
            <w:pPr>
              <w:jc w:val="center"/>
              <w:rPr>
                <w:rFonts w:ascii="宋体" w:hAnsi="宋体" w:cs="宋体"/>
                <w:snapToGrid w:val="0"/>
                <w:color w:val="000000"/>
                <w:kern w:val="0"/>
                <w:szCs w:val="21"/>
                <w:lang w:bidi="ar"/>
              </w:rPr>
            </w:pPr>
          </w:p>
        </w:tc>
        <w:tc>
          <w:tcPr>
            <w:tcW w:w="1529" w:type="dxa"/>
            <w:tcBorders>
              <w:tl2br w:val="nil"/>
              <w:tr2bl w:val="nil"/>
            </w:tcBorders>
            <w:shd w:val="clear" w:color="auto" w:fill="auto"/>
            <w:noWrap/>
            <w:tcMar>
              <w:top w:w="15" w:type="dxa"/>
              <w:left w:w="15" w:type="dxa"/>
              <w:right w:w="15" w:type="dxa"/>
            </w:tcMar>
            <w:vAlign w:val="center"/>
          </w:tcPr>
          <w:p w14:paraId="271243D4">
            <w:pPr>
              <w:jc w:val="center"/>
              <w:rPr>
                <w:rFonts w:ascii="宋体" w:hAnsi="宋体" w:cs="宋体"/>
                <w:snapToGrid w:val="0"/>
                <w:color w:val="000000"/>
                <w:kern w:val="0"/>
                <w:szCs w:val="21"/>
                <w:lang w:bidi="ar"/>
              </w:rPr>
            </w:pPr>
          </w:p>
        </w:tc>
      </w:tr>
      <w:tr w14:paraId="421C7EB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2ECAC613">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61</w:t>
            </w:r>
          </w:p>
        </w:tc>
        <w:tc>
          <w:tcPr>
            <w:tcW w:w="1235" w:type="dxa"/>
            <w:tcBorders>
              <w:tl2br w:val="nil"/>
              <w:tr2bl w:val="nil"/>
            </w:tcBorders>
            <w:shd w:val="clear" w:color="auto" w:fill="auto"/>
            <w:noWrap/>
            <w:tcMar>
              <w:top w:w="15" w:type="dxa"/>
              <w:left w:w="15" w:type="dxa"/>
              <w:right w:w="15" w:type="dxa"/>
            </w:tcMar>
            <w:vAlign w:val="center"/>
          </w:tcPr>
          <w:p w14:paraId="3423030B">
            <w:pPr>
              <w:jc w:val="center"/>
              <w:rPr>
                <w:rFonts w:ascii="宋体" w:hAnsi="宋体" w:cs="宋体"/>
                <w:snapToGrid w:val="0"/>
                <w:color w:val="000000"/>
                <w:kern w:val="0"/>
                <w:szCs w:val="21"/>
                <w:lang w:bidi="ar"/>
              </w:rPr>
            </w:pPr>
            <w:r>
              <w:rPr>
                <w:rFonts w:hint="eastAsia" w:ascii="宋体" w:hAnsi="宋体" w:cs="宋体"/>
                <w:color w:val="000000"/>
                <w:szCs w:val="21"/>
              </w:rPr>
              <w:t>/</w:t>
            </w:r>
          </w:p>
        </w:tc>
        <w:tc>
          <w:tcPr>
            <w:tcW w:w="2930" w:type="dxa"/>
            <w:tcBorders>
              <w:tl2br w:val="nil"/>
              <w:tr2bl w:val="nil"/>
            </w:tcBorders>
            <w:noWrap/>
            <w:tcMar>
              <w:top w:w="15" w:type="dxa"/>
              <w:left w:w="15" w:type="dxa"/>
              <w:right w:w="15" w:type="dxa"/>
            </w:tcMar>
            <w:vAlign w:val="center"/>
          </w:tcPr>
          <w:p w14:paraId="4B2197D6">
            <w:pPr>
              <w:jc w:val="center"/>
              <w:rPr>
                <w:rFonts w:ascii="宋体" w:hAnsi="宋体" w:cs="宋体"/>
                <w:color w:val="000000"/>
                <w:szCs w:val="21"/>
              </w:rPr>
            </w:pPr>
            <w:r>
              <w:rPr>
                <w:rFonts w:hint="eastAsia" w:ascii="宋体" w:hAnsi="宋体" w:cs="宋体"/>
                <w:snapToGrid w:val="0"/>
                <w:szCs w:val="21"/>
                <w:lang w:eastAsia="zh-CN"/>
              </w:rPr>
              <w:t>发动机升级改造</w:t>
            </w:r>
          </w:p>
        </w:tc>
        <w:tc>
          <w:tcPr>
            <w:tcW w:w="577" w:type="dxa"/>
            <w:tcBorders>
              <w:tl2br w:val="nil"/>
              <w:tr2bl w:val="nil"/>
            </w:tcBorders>
            <w:shd w:val="clear" w:color="auto" w:fill="auto"/>
            <w:noWrap/>
            <w:tcMar>
              <w:top w:w="15" w:type="dxa"/>
              <w:left w:w="15" w:type="dxa"/>
              <w:right w:w="15" w:type="dxa"/>
            </w:tcMar>
            <w:vAlign w:val="center"/>
          </w:tcPr>
          <w:p w14:paraId="029639E8">
            <w:pPr>
              <w:jc w:val="center"/>
              <w:rPr>
                <w:rFonts w:ascii="宋体" w:hAnsi="宋体" w:cs="宋体"/>
                <w:snapToGrid w:val="0"/>
                <w:color w:val="000000"/>
                <w:kern w:val="0"/>
                <w:szCs w:val="21"/>
                <w:lang w:eastAsia="en-US"/>
              </w:rPr>
            </w:pPr>
            <w:r>
              <w:rPr>
                <w:rFonts w:hint="eastAsia" w:ascii="宋体" w:hAnsi="宋体" w:cs="宋体"/>
                <w:color w:val="000000"/>
                <w:szCs w:val="21"/>
              </w:rPr>
              <w:t>1</w:t>
            </w:r>
          </w:p>
        </w:tc>
        <w:tc>
          <w:tcPr>
            <w:tcW w:w="1489" w:type="dxa"/>
            <w:tcBorders>
              <w:tl2br w:val="nil"/>
              <w:tr2bl w:val="nil"/>
            </w:tcBorders>
            <w:shd w:val="clear" w:color="auto" w:fill="auto"/>
            <w:noWrap/>
            <w:tcMar>
              <w:top w:w="15" w:type="dxa"/>
              <w:left w:w="15" w:type="dxa"/>
              <w:right w:w="15" w:type="dxa"/>
            </w:tcMar>
            <w:vAlign w:val="center"/>
          </w:tcPr>
          <w:p w14:paraId="4C1C676F">
            <w:pPr>
              <w:widowControl/>
              <w:jc w:val="center"/>
              <w:rPr>
                <w:rFonts w:ascii="宋体" w:hAnsi="宋体" w:cs="宋体"/>
                <w:snapToGrid w:val="0"/>
                <w:color w:val="000000"/>
                <w:kern w:val="0"/>
                <w:szCs w:val="21"/>
                <w:lang w:eastAsia="en-US"/>
              </w:rPr>
            </w:pPr>
          </w:p>
        </w:tc>
        <w:tc>
          <w:tcPr>
            <w:tcW w:w="1529" w:type="dxa"/>
            <w:tcBorders>
              <w:tl2br w:val="nil"/>
              <w:tr2bl w:val="nil"/>
            </w:tcBorders>
            <w:shd w:val="clear" w:color="auto" w:fill="auto"/>
            <w:noWrap/>
            <w:tcMar>
              <w:top w:w="15" w:type="dxa"/>
              <w:left w:w="15" w:type="dxa"/>
              <w:right w:w="15" w:type="dxa"/>
            </w:tcMar>
            <w:vAlign w:val="center"/>
          </w:tcPr>
          <w:p w14:paraId="763711DD">
            <w:pPr>
              <w:widowControl/>
              <w:jc w:val="center"/>
              <w:rPr>
                <w:rFonts w:ascii="宋体" w:hAnsi="宋体" w:cs="宋体"/>
                <w:snapToGrid w:val="0"/>
                <w:color w:val="000000"/>
                <w:kern w:val="0"/>
                <w:szCs w:val="21"/>
                <w:lang w:eastAsia="en-US"/>
              </w:rPr>
            </w:pPr>
          </w:p>
        </w:tc>
      </w:tr>
      <w:tr w14:paraId="4295C18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62C67C25">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62</w:t>
            </w:r>
          </w:p>
        </w:tc>
        <w:tc>
          <w:tcPr>
            <w:tcW w:w="1235" w:type="dxa"/>
            <w:tcBorders>
              <w:tl2br w:val="nil"/>
              <w:tr2bl w:val="nil"/>
            </w:tcBorders>
            <w:shd w:val="clear" w:color="auto" w:fill="auto"/>
            <w:noWrap/>
            <w:tcMar>
              <w:top w:w="15" w:type="dxa"/>
              <w:left w:w="15" w:type="dxa"/>
              <w:right w:w="15" w:type="dxa"/>
            </w:tcMar>
            <w:vAlign w:val="center"/>
          </w:tcPr>
          <w:p w14:paraId="794ED2C4">
            <w:pPr>
              <w:jc w:val="center"/>
              <w:rPr>
                <w:rFonts w:ascii="宋体" w:hAnsi="宋体" w:cs="宋体"/>
                <w:snapToGrid w:val="0"/>
                <w:color w:val="000000"/>
                <w:kern w:val="0"/>
                <w:szCs w:val="21"/>
                <w:lang w:bidi="ar"/>
              </w:rPr>
            </w:pPr>
            <w:r>
              <w:rPr>
                <w:rFonts w:hint="eastAsia" w:ascii="宋体" w:hAnsi="宋体" w:cs="宋体"/>
                <w:color w:val="000000"/>
                <w:szCs w:val="21"/>
              </w:rPr>
              <w:t>/</w:t>
            </w:r>
          </w:p>
        </w:tc>
        <w:tc>
          <w:tcPr>
            <w:tcW w:w="2930" w:type="dxa"/>
            <w:tcBorders>
              <w:tl2br w:val="nil"/>
              <w:tr2bl w:val="nil"/>
            </w:tcBorders>
            <w:shd w:val="clear" w:color="auto" w:fill="auto"/>
            <w:noWrap/>
            <w:tcMar>
              <w:top w:w="15" w:type="dxa"/>
              <w:left w:w="15" w:type="dxa"/>
              <w:right w:w="15" w:type="dxa"/>
            </w:tcMar>
            <w:vAlign w:val="center"/>
          </w:tcPr>
          <w:p w14:paraId="3C2EFF87">
            <w:pPr>
              <w:jc w:val="center"/>
              <w:rPr>
                <w:rFonts w:ascii="宋体" w:hAnsi="宋体" w:cs="宋体"/>
                <w:snapToGrid w:val="0"/>
                <w:kern w:val="0"/>
                <w:szCs w:val="21"/>
              </w:rPr>
            </w:pPr>
            <w:r>
              <w:rPr>
                <w:rFonts w:hint="eastAsia" w:ascii="宋体" w:hAnsi="宋体" w:cs="宋体"/>
                <w:snapToGrid w:val="0"/>
                <w:szCs w:val="21"/>
              </w:rPr>
              <w:t>发动机相关附件改造（含材料）</w:t>
            </w:r>
          </w:p>
        </w:tc>
        <w:tc>
          <w:tcPr>
            <w:tcW w:w="577" w:type="dxa"/>
            <w:tcBorders>
              <w:tl2br w:val="nil"/>
              <w:tr2bl w:val="nil"/>
            </w:tcBorders>
            <w:shd w:val="clear" w:color="auto" w:fill="auto"/>
            <w:noWrap/>
            <w:tcMar>
              <w:top w:w="15" w:type="dxa"/>
              <w:left w:w="15" w:type="dxa"/>
              <w:right w:w="15" w:type="dxa"/>
            </w:tcMar>
            <w:vAlign w:val="center"/>
          </w:tcPr>
          <w:p w14:paraId="62A5821C">
            <w:pPr>
              <w:jc w:val="center"/>
              <w:rPr>
                <w:rFonts w:ascii="宋体" w:hAnsi="宋体" w:cs="宋体"/>
                <w:snapToGrid w:val="0"/>
                <w:color w:val="000000"/>
                <w:kern w:val="0"/>
                <w:szCs w:val="21"/>
                <w:lang w:eastAsia="en-US"/>
              </w:rPr>
            </w:pPr>
            <w:r>
              <w:rPr>
                <w:rFonts w:hint="eastAsia" w:ascii="宋体" w:hAnsi="宋体" w:cs="宋体"/>
                <w:color w:val="000000"/>
                <w:szCs w:val="21"/>
              </w:rPr>
              <w:t>1</w:t>
            </w:r>
          </w:p>
        </w:tc>
        <w:tc>
          <w:tcPr>
            <w:tcW w:w="1489" w:type="dxa"/>
            <w:tcBorders>
              <w:tl2br w:val="nil"/>
              <w:tr2bl w:val="nil"/>
            </w:tcBorders>
            <w:shd w:val="clear" w:color="auto" w:fill="auto"/>
            <w:noWrap/>
            <w:tcMar>
              <w:top w:w="15" w:type="dxa"/>
              <w:left w:w="15" w:type="dxa"/>
              <w:right w:w="15" w:type="dxa"/>
            </w:tcMar>
            <w:vAlign w:val="center"/>
          </w:tcPr>
          <w:p w14:paraId="74C57477">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noWrap/>
            <w:tcMar>
              <w:top w:w="15" w:type="dxa"/>
              <w:left w:w="15" w:type="dxa"/>
              <w:right w:w="15" w:type="dxa"/>
            </w:tcMar>
            <w:vAlign w:val="center"/>
          </w:tcPr>
          <w:p w14:paraId="52D03E42">
            <w:pPr>
              <w:widowControl/>
              <w:jc w:val="center"/>
              <w:rPr>
                <w:rFonts w:ascii="宋体" w:hAnsi="宋体" w:cs="宋体"/>
                <w:snapToGrid w:val="0"/>
                <w:color w:val="000000"/>
                <w:kern w:val="0"/>
                <w:szCs w:val="21"/>
                <w:lang w:bidi="ar"/>
              </w:rPr>
            </w:pPr>
          </w:p>
        </w:tc>
      </w:tr>
      <w:tr w14:paraId="15D7E0EF">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49873A1E">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63</w:t>
            </w:r>
          </w:p>
        </w:tc>
        <w:tc>
          <w:tcPr>
            <w:tcW w:w="1235" w:type="dxa"/>
            <w:tcBorders>
              <w:tl2br w:val="nil"/>
              <w:tr2bl w:val="nil"/>
            </w:tcBorders>
            <w:shd w:val="clear" w:color="auto" w:fill="auto"/>
            <w:noWrap/>
            <w:tcMar>
              <w:top w:w="15" w:type="dxa"/>
              <w:left w:w="15" w:type="dxa"/>
              <w:right w:w="15" w:type="dxa"/>
            </w:tcMar>
            <w:vAlign w:val="center"/>
          </w:tcPr>
          <w:p w14:paraId="5826813F">
            <w:pPr>
              <w:jc w:val="center"/>
              <w:rPr>
                <w:rFonts w:ascii="宋体" w:hAnsi="宋体" w:cs="宋体"/>
                <w:snapToGrid w:val="0"/>
                <w:color w:val="000000"/>
                <w:kern w:val="0"/>
                <w:szCs w:val="21"/>
                <w:lang w:bidi="ar"/>
              </w:rPr>
            </w:pPr>
            <w:r>
              <w:rPr>
                <w:rFonts w:hint="eastAsia" w:ascii="宋体" w:hAnsi="宋体" w:cs="宋体"/>
                <w:color w:val="000000"/>
                <w:szCs w:val="21"/>
              </w:rPr>
              <w:t>/</w:t>
            </w:r>
          </w:p>
        </w:tc>
        <w:tc>
          <w:tcPr>
            <w:tcW w:w="2930" w:type="dxa"/>
            <w:tcBorders>
              <w:tl2br w:val="nil"/>
              <w:tr2bl w:val="nil"/>
            </w:tcBorders>
            <w:shd w:val="clear" w:color="auto" w:fill="auto"/>
            <w:noWrap/>
            <w:tcMar>
              <w:top w:w="15" w:type="dxa"/>
              <w:left w:w="15" w:type="dxa"/>
              <w:right w:w="15" w:type="dxa"/>
            </w:tcMar>
            <w:vAlign w:val="center"/>
          </w:tcPr>
          <w:p w14:paraId="0279AF3C">
            <w:pPr>
              <w:jc w:val="center"/>
              <w:rPr>
                <w:rFonts w:ascii="宋体" w:hAnsi="宋体" w:cs="宋体"/>
                <w:snapToGrid w:val="0"/>
                <w:kern w:val="0"/>
                <w:szCs w:val="21"/>
              </w:rPr>
            </w:pPr>
            <w:r>
              <w:rPr>
                <w:rFonts w:hint="eastAsia" w:ascii="宋体" w:hAnsi="宋体" w:cs="宋体"/>
                <w:szCs w:val="21"/>
              </w:rPr>
              <w:t>尿素罐固定装置的设置改造</w:t>
            </w:r>
          </w:p>
        </w:tc>
        <w:tc>
          <w:tcPr>
            <w:tcW w:w="577" w:type="dxa"/>
            <w:tcBorders>
              <w:tl2br w:val="nil"/>
              <w:tr2bl w:val="nil"/>
            </w:tcBorders>
            <w:shd w:val="clear" w:color="auto" w:fill="auto"/>
            <w:noWrap/>
            <w:tcMar>
              <w:top w:w="15" w:type="dxa"/>
              <w:left w:w="15" w:type="dxa"/>
              <w:right w:w="15" w:type="dxa"/>
            </w:tcMar>
            <w:vAlign w:val="center"/>
          </w:tcPr>
          <w:p w14:paraId="1BF05F07">
            <w:pPr>
              <w:jc w:val="center"/>
              <w:rPr>
                <w:rFonts w:ascii="宋体" w:hAnsi="宋体" w:cs="宋体"/>
                <w:snapToGrid w:val="0"/>
                <w:color w:val="000000"/>
                <w:kern w:val="0"/>
                <w:szCs w:val="21"/>
                <w:lang w:eastAsia="en-US"/>
              </w:rPr>
            </w:pPr>
            <w:r>
              <w:rPr>
                <w:rFonts w:hint="eastAsia" w:ascii="宋体" w:hAnsi="宋体" w:cs="宋体"/>
                <w:color w:val="000000"/>
                <w:szCs w:val="21"/>
              </w:rPr>
              <w:t>1</w:t>
            </w:r>
          </w:p>
        </w:tc>
        <w:tc>
          <w:tcPr>
            <w:tcW w:w="1489" w:type="dxa"/>
            <w:tcBorders>
              <w:tl2br w:val="nil"/>
              <w:tr2bl w:val="nil"/>
            </w:tcBorders>
            <w:shd w:val="clear" w:color="auto" w:fill="auto"/>
            <w:noWrap/>
            <w:tcMar>
              <w:top w:w="15" w:type="dxa"/>
              <w:left w:w="15" w:type="dxa"/>
              <w:right w:w="15" w:type="dxa"/>
            </w:tcMar>
            <w:vAlign w:val="center"/>
          </w:tcPr>
          <w:p w14:paraId="51BF0044">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noWrap/>
            <w:tcMar>
              <w:top w:w="15" w:type="dxa"/>
              <w:left w:w="15" w:type="dxa"/>
              <w:right w:w="15" w:type="dxa"/>
            </w:tcMar>
            <w:vAlign w:val="center"/>
          </w:tcPr>
          <w:p w14:paraId="3B2C938E">
            <w:pPr>
              <w:widowControl/>
              <w:jc w:val="center"/>
              <w:rPr>
                <w:rFonts w:ascii="宋体" w:hAnsi="宋体" w:cs="宋体"/>
                <w:snapToGrid w:val="0"/>
                <w:color w:val="000000"/>
                <w:kern w:val="0"/>
                <w:szCs w:val="21"/>
                <w:lang w:bidi="ar"/>
              </w:rPr>
            </w:pPr>
          </w:p>
        </w:tc>
      </w:tr>
      <w:tr w14:paraId="4B61312B">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4B85A88F">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64</w:t>
            </w:r>
          </w:p>
        </w:tc>
        <w:tc>
          <w:tcPr>
            <w:tcW w:w="1235" w:type="dxa"/>
            <w:tcBorders>
              <w:tl2br w:val="nil"/>
              <w:tr2bl w:val="nil"/>
            </w:tcBorders>
            <w:shd w:val="clear" w:color="auto" w:fill="auto"/>
            <w:noWrap/>
            <w:tcMar>
              <w:top w:w="15" w:type="dxa"/>
              <w:left w:w="15" w:type="dxa"/>
              <w:right w:w="15" w:type="dxa"/>
            </w:tcMar>
            <w:vAlign w:val="center"/>
          </w:tcPr>
          <w:p w14:paraId="19848608">
            <w:pPr>
              <w:jc w:val="center"/>
              <w:rPr>
                <w:rFonts w:ascii="宋体" w:hAnsi="宋体" w:cs="宋体"/>
                <w:snapToGrid w:val="0"/>
                <w:color w:val="000000"/>
                <w:kern w:val="0"/>
                <w:szCs w:val="21"/>
                <w:lang w:bidi="ar"/>
              </w:rPr>
            </w:pPr>
            <w:r>
              <w:rPr>
                <w:rFonts w:hint="eastAsia" w:ascii="宋体" w:hAnsi="宋体" w:cs="宋体"/>
                <w:color w:val="000000"/>
                <w:szCs w:val="21"/>
              </w:rPr>
              <w:t>/</w:t>
            </w:r>
          </w:p>
        </w:tc>
        <w:tc>
          <w:tcPr>
            <w:tcW w:w="2930" w:type="dxa"/>
            <w:tcBorders>
              <w:tl2br w:val="nil"/>
              <w:tr2bl w:val="nil"/>
            </w:tcBorders>
            <w:shd w:val="clear" w:color="auto" w:fill="auto"/>
            <w:noWrap/>
            <w:tcMar>
              <w:top w:w="15" w:type="dxa"/>
              <w:left w:w="15" w:type="dxa"/>
              <w:right w:w="15" w:type="dxa"/>
            </w:tcMar>
            <w:vAlign w:val="center"/>
          </w:tcPr>
          <w:p w14:paraId="414EC8EC">
            <w:pPr>
              <w:jc w:val="center"/>
              <w:rPr>
                <w:rFonts w:ascii="宋体" w:hAnsi="宋体" w:cs="宋体"/>
                <w:snapToGrid w:val="0"/>
                <w:kern w:val="0"/>
                <w:szCs w:val="21"/>
              </w:rPr>
            </w:pPr>
            <w:r>
              <w:rPr>
                <w:rFonts w:hint="eastAsia" w:ascii="宋体" w:hAnsi="宋体" w:cs="宋体"/>
                <w:szCs w:val="21"/>
              </w:rPr>
              <w:t>控制系统的改造</w:t>
            </w:r>
          </w:p>
        </w:tc>
        <w:tc>
          <w:tcPr>
            <w:tcW w:w="577" w:type="dxa"/>
            <w:tcBorders>
              <w:tl2br w:val="nil"/>
              <w:tr2bl w:val="nil"/>
            </w:tcBorders>
            <w:shd w:val="clear" w:color="auto" w:fill="auto"/>
            <w:noWrap/>
            <w:tcMar>
              <w:top w:w="15" w:type="dxa"/>
              <w:left w:w="15" w:type="dxa"/>
              <w:right w:w="15" w:type="dxa"/>
            </w:tcMar>
            <w:vAlign w:val="center"/>
          </w:tcPr>
          <w:p w14:paraId="3AB8E542">
            <w:pPr>
              <w:jc w:val="center"/>
              <w:rPr>
                <w:rFonts w:ascii="宋体" w:hAnsi="宋体" w:cs="宋体"/>
                <w:snapToGrid w:val="0"/>
                <w:color w:val="000000"/>
                <w:kern w:val="0"/>
                <w:szCs w:val="21"/>
                <w:lang w:eastAsia="en-US"/>
              </w:rPr>
            </w:pPr>
            <w:r>
              <w:rPr>
                <w:rFonts w:hint="eastAsia" w:ascii="宋体" w:hAnsi="宋体" w:cs="宋体"/>
                <w:color w:val="000000"/>
                <w:szCs w:val="21"/>
              </w:rPr>
              <w:t>1</w:t>
            </w:r>
          </w:p>
        </w:tc>
        <w:tc>
          <w:tcPr>
            <w:tcW w:w="1489" w:type="dxa"/>
            <w:tcBorders>
              <w:tl2br w:val="nil"/>
              <w:tr2bl w:val="nil"/>
            </w:tcBorders>
            <w:shd w:val="clear" w:color="auto" w:fill="auto"/>
            <w:noWrap/>
            <w:tcMar>
              <w:top w:w="15" w:type="dxa"/>
              <w:left w:w="15" w:type="dxa"/>
              <w:right w:w="15" w:type="dxa"/>
            </w:tcMar>
            <w:vAlign w:val="center"/>
          </w:tcPr>
          <w:p w14:paraId="17B95779">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noWrap/>
            <w:tcMar>
              <w:top w:w="15" w:type="dxa"/>
              <w:left w:w="15" w:type="dxa"/>
              <w:right w:w="15" w:type="dxa"/>
            </w:tcMar>
            <w:vAlign w:val="center"/>
          </w:tcPr>
          <w:p w14:paraId="2D2119F4">
            <w:pPr>
              <w:widowControl/>
              <w:jc w:val="center"/>
              <w:rPr>
                <w:rFonts w:ascii="宋体" w:hAnsi="宋体" w:cs="宋体"/>
                <w:snapToGrid w:val="0"/>
                <w:color w:val="000000"/>
                <w:kern w:val="0"/>
                <w:szCs w:val="21"/>
                <w:lang w:bidi="ar"/>
              </w:rPr>
            </w:pPr>
          </w:p>
        </w:tc>
      </w:tr>
      <w:tr w14:paraId="798114F3">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7268BAD6">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65</w:t>
            </w:r>
          </w:p>
        </w:tc>
        <w:tc>
          <w:tcPr>
            <w:tcW w:w="1235" w:type="dxa"/>
            <w:tcBorders>
              <w:tl2br w:val="nil"/>
              <w:tr2bl w:val="nil"/>
            </w:tcBorders>
            <w:shd w:val="clear" w:color="auto" w:fill="auto"/>
            <w:noWrap/>
            <w:tcMar>
              <w:top w:w="15" w:type="dxa"/>
              <w:left w:w="15" w:type="dxa"/>
              <w:right w:w="15" w:type="dxa"/>
            </w:tcMar>
            <w:vAlign w:val="center"/>
          </w:tcPr>
          <w:p w14:paraId="591CFCAB">
            <w:pPr>
              <w:jc w:val="center"/>
              <w:rPr>
                <w:rFonts w:ascii="宋体" w:hAnsi="宋体" w:cs="宋体"/>
                <w:snapToGrid w:val="0"/>
                <w:color w:val="000000"/>
                <w:kern w:val="0"/>
                <w:szCs w:val="21"/>
                <w:lang w:bidi="ar"/>
              </w:rPr>
            </w:pPr>
            <w:r>
              <w:rPr>
                <w:rFonts w:hint="eastAsia" w:ascii="宋体" w:hAnsi="宋体" w:cs="宋体"/>
                <w:color w:val="000000"/>
                <w:szCs w:val="21"/>
              </w:rPr>
              <w:t>/</w:t>
            </w:r>
          </w:p>
        </w:tc>
        <w:tc>
          <w:tcPr>
            <w:tcW w:w="2930" w:type="dxa"/>
            <w:tcBorders>
              <w:tl2br w:val="nil"/>
              <w:tr2bl w:val="nil"/>
            </w:tcBorders>
            <w:shd w:val="clear" w:color="auto" w:fill="auto"/>
            <w:noWrap/>
            <w:tcMar>
              <w:top w:w="15" w:type="dxa"/>
              <w:left w:w="15" w:type="dxa"/>
              <w:right w:w="15" w:type="dxa"/>
            </w:tcMar>
            <w:vAlign w:val="center"/>
          </w:tcPr>
          <w:p w14:paraId="2C123BA4">
            <w:pPr>
              <w:jc w:val="center"/>
              <w:rPr>
                <w:rFonts w:ascii="宋体" w:hAnsi="宋体" w:cs="宋体"/>
                <w:snapToGrid w:val="0"/>
                <w:kern w:val="0"/>
                <w:szCs w:val="21"/>
              </w:rPr>
            </w:pPr>
            <w:r>
              <w:rPr>
                <w:rFonts w:hint="eastAsia"/>
              </w:rPr>
              <w:t>项目维修改造完成后中标人须</w:t>
            </w:r>
            <w:r>
              <w:rPr>
                <w:rFonts w:hint="eastAsia" w:ascii="宋体" w:hAnsi="宋体" w:cs="宋体"/>
                <w:szCs w:val="21"/>
              </w:rPr>
              <w:t>随车提供发动机保养耗材（包括材滤、机滤、空滤等所有材料）</w:t>
            </w:r>
          </w:p>
        </w:tc>
        <w:tc>
          <w:tcPr>
            <w:tcW w:w="577" w:type="dxa"/>
            <w:tcBorders>
              <w:tl2br w:val="nil"/>
              <w:tr2bl w:val="nil"/>
            </w:tcBorders>
            <w:shd w:val="clear" w:color="auto" w:fill="auto"/>
            <w:noWrap/>
            <w:tcMar>
              <w:top w:w="15" w:type="dxa"/>
              <w:left w:w="15" w:type="dxa"/>
              <w:right w:w="15" w:type="dxa"/>
            </w:tcMar>
            <w:vAlign w:val="center"/>
          </w:tcPr>
          <w:p w14:paraId="784CEB37">
            <w:pPr>
              <w:jc w:val="center"/>
              <w:rPr>
                <w:rFonts w:ascii="宋体" w:hAnsi="宋体" w:cs="宋体"/>
                <w:snapToGrid w:val="0"/>
                <w:color w:val="000000"/>
                <w:kern w:val="0"/>
                <w:szCs w:val="21"/>
                <w:lang w:eastAsia="en-US"/>
              </w:rPr>
            </w:pPr>
            <w:r>
              <w:rPr>
                <w:rFonts w:hint="eastAsia" w:ascii="宋体" w:hAnsi="宋体" w:cs="宋体"/>
                <w:color w:val="000000"/>
                <w:szCs w:val="21"/>
              </w:rPr>
              <w:t>3</w:t>
            </w:r>
          </w:p>
        </w:tc>
        <w:tc>
          <w:tcPr>
            <w:tcW w:w="1489" w:type="dxa"/>
            <w:tcBorders>
              <w:tl2br w:val="nil"/>
              <w:tr2bl w:val="nil"/>
            </w:tcBorders>
            <w:shd w:val="clear" w:color="auto" w:fill="auto"/>
            <w:noWrap/>
            <w:tcMar>
              <w:top w:w="15" w:type="dxa"/>
              <w:left w:w="15" w:type="dxa"/>
              <w:right w:w="15" w:type="dxa"/>
            </w:tcMar>
            <w:vAlign w:val="center"/>
          </w:tcPr>
          <w:p w14:paraId="22A85892">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noWrap/>
            <w:tcMar>
              <w:top w:w="15" w:type="dxa"/>
              <w:left w:w="15" w:type="dxa"/>
              <w:right w:w="15" w:type="dxa"/>
            </w:tcMar>
            <w:vAlign w:val="center"/>
          </w:tcPr>
          <w:p w14:paraId="7F37B74E">
            <w:pPr>
              <w:widowControl/>
              <w:jc w:val="center"/>
              <w:rPr>
                <w:rFonts w:ascii="宋体" w:hAnsi="宋体" w:cs="宋体"/>
                <w:snapToGrid w:val="0"/>
                <w:color w:val="000000"/>
                <w:kern w:val="0"/>
                <w:szCs w:val="21"/>
                <w:lang w:bidi="ar"/>
              </w:rPr>
            </w:pPr>
          </w:p>
        </w:tc>
      </w:tr>
      <w:tr w14:paraId="0CF648D4">
        <w:tblPrEx>
          <w:tblBorders>
            <w:top w:val="single" w:color="auto" w:sz="4" w:space="0"/>
            <w:left w:val="single" w:color="auto" w:sz="4" w:space="0"/>
            <w:bottom w:val="single" w:color="000000"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69" w:type="dxa"/>
            <w:tcBorders>
              <w:tl2br w:val="nil"/>
              <w:tr2bl w:val="nil"/>
            </w:tcBorders>
            <w:noWrap/>
            <w:tcMar>
              <w:top w:w="15" w:type="dxa"/>
              <w:left w:w="15" w:type="dxa"/>
              <w:right w:w="15" w:type="dxa"/>
            </w:tcMar>
            <w:vAlign w:val="center"/>
          </w:tcPr>
          <w:p w14:paraId="59AB8224">
            <w:pPr>
              <w:keepNext w:val="0"/>
              <w:keepLines w:val="0"/>
              <w:widowControl/>
              <w:suppressLineNumbers w:val="0"/>
              <w:jc w:val="center"/>
              <w:textAlignment w:val="auto"/>
              <w:rPr>
                <w:rFonts w:ascii="宋体" w:hAnsi="宋体" w:cs="宋体"/>
                <w:color w:val="000000"/>
                <w:szCs w:val="21"/>
              </w:rPr>
            </w:pPr>
            <w:r>
              <w:rPr>
                <w:rFonts w:hint="eastAsia" w:ascii="宋体" w:hAnsi="宋体" w:eastAsia="宋体" w:cs="宋体"/>
                <w:i w:val="0"/>
                <w:iCs w:val="0"/>
                <w:color w:val="000000"/>
                <w:kern w:val="2"/>
                <w:sz w:val="21"/>
                <w:szCs w:val="21"/>
                <w:u w:val="none"/>
                <w:lang w:val="en-US" w:eastAsia="zh-CN" w:bidi="ar"/>
              </w:rPr>
              <w:t>66</w:t>
            </w:r>
          </w:p>
        </w:tc>
        <w:tc>
          <w:tcPr>
            <w:tcW w:w="1235" w:type="dxa"/>
            <w:tcBorders>
              <w:tl2br w:val="nil"/>
              <w:tr2bl w:val="nil"/>
            </w:tcBorders>
            <w:shd w:val="clear" w:color="auto" w:fill="auto"/>
            <w:noWrap/>
            <w:tcMar>
              <w:top w:w="15" w:type="dxa"/>
              <w:left w:w="15" w:type="dxa"/>
              <w:right w:w="15" w:type="dxa"/>
            </w:tcMar>
            <w:vAlign w:val="center"/>
          </w:tcPr>
          <w:p w14:paraId="7422BA0E">
            <w:pPr>
              <w:jc w:val="center"/>
              <w:rPr>
                <w:rFonts w:ascii="宋体" w:hAnsi="宋体" w:cs="宋体"/>
                <w:snapToGrid w:val="0"/>
                <w:color w:val="000000"/>
                <w:kern w:val="0"/>
                <w:szCs w:val="21"/>
                <w:lang w:bidi="ar"/>
              </w:rPr>
            </w:pPr>
            <w:r>
              <w:rPr>
                <w:rFonts w:hint="eastAsia" w:ascii="宋体" w:hAnsi="宋体" w:cs="宋体"/>
                <w:szCs w:val="21"/>
              </w:rPr>
              <w:t>/</w:t>
            </w:r>
          </w:p>
        </w:tc>
        <w:tc>
          <w:tcPr>
            <w:tcW w:w="2930" w:type="dxa"/>
            <w:tcBorders>
              <w:tl2br w:val="nil"/>
              <w:tr2bl w:val="nil"/>
            </w:tcBorders>
            <w:shd w:val="clear" w:color="auto" w:fill="auto"/>
            <w:noWrap/>
            <w:tcMar>
              <w:top w:w="15" w:type="dxa"/>
              <w:left w:w="15" w:type="dxa"/>
              <w:right w:w="15" w:type="dxa"/>
            </w:tcMar>
            <w:vAlign w:val="center"/>
          </w:tcPr>
          <w:p w14:paraId="5805C88D">
            <w:pPr>
              <w:jc w:val="center"/>
              <w:rPr>
                <w:rFonts w:ascii="宋体" w:hAnsi="宋体" w:cs="宋体"/>
                <w:snapToGrid w:val="0"/>
                <w:kern w:val="0"/>
                <w:szCs w:val="21"/>
              </w:rPr>
            </w:pPr>
            <w:r>
              <w:rPr>
                <w:rFonts w:hint="eastAsia" w:ascii="宋体" w:hAnsi="宋体" w:cs="宋体"/>
                <w:szCs w:val="21"/>
              </w:rPr>
              <w:t>整车要求配备车辆智能消防系统。机舱发生自燃时，有声、光报警，机器能自动停止运转自动/手动启动灭火功能。消防系统可手动、自动可自由切换，报警温度为 180 摄氏度，主电源切断后仍可以实现自动或手动灭火；灭火介质稳定可靠，适应-50—60 摄氏度常压储存，具有冷却、无腐蚀、防止复燃性能，系统寿命 5 年以上。</w:t>
            </w:r>
          </w:p>
        </w:tc>
        <w:tc>
          <w:tcPr>
            <w:tcW w:w="577" w:type="dxa"/>
            <w:tcBorders>
              <w:tl2br w:val="nil"/>
              <w:tr2bl w:val="nil"/>
            </w:tcBorders>
            <w:shd w:val="clear" w:color="auto" w:fill="auto"/>
            <w:noWrap/>
            <w:tcMar>
              <w:top w:w="15" w:type="dxa"/>
              <w:left w:w="15" w:type="dxa"/>
              <w:right w:w="15" w:type="dxa"/>
            </w:tcMar>
            <w:vAlign w:val="center"/>
          </w:tcPr>
          <w:p w14:paraId="75E129AD">
            <w:pPr>
              <w:jc w:val="center"/>
              <w:rPr>
                <w:rFonts w:ascii="宋体" w:hAnsi="宋体" w:cs="宋体"/>
                <w:snapToGrid w:val="0"/>
                <w:color w:val="000000"/>
                <w:kern w:val="0"/>
                <w:szCs w:val="21"/>
                <w:lang w:eastAsia="en-US"/>
              </w:rPr>
            </w:pPr>
            <w:r>
              <w:rPr>
                <w:rFonts w:hint="eastAsia" w:ascii="宋体" w:hAnsi="宋体" w:cs="宋体"/>
                <w:color w:val="000000"/>
                <w:szCs w:val="21"/>
              </w:rPr>
              <w:t>1</w:t>
            </w:r>
          </w:p>
        </w:tc>
        <w:tc>
          <w:tcPr>
            <w:tcW w:w="1489" w:type="dxa"/>
            <w:tcBorders>
              <w:tl2br w:val="nil"/>
              <w:tr2bl w:val="nil"/>
            </w:tcBorders>
            <w:shd w:val="clear" w:color="auto" w:fill="auto"/>
            <w:noWrap/>
            <w:tcMar>
              <w:top w:w="15" w:type="dxa"/>
              <w:left w:w="15" w:type="dxa"/>
              <w:right w:w="15" w:type="dxa"/>
            </w:tcMar>
            <w:vAlign w:val="center"/>
          </w:tcPr>
          <w:p w14:paraId="46A997D9">
            <w:pPr>
              <w:widowControl/>
              <w:jc w:val="center"/>
              <w:rPr>
                <w:rFonts w:ascii="宋体" w:hAnsi="宋体" w:cs="宋体"/>
                <w:snapToGrid w:val="0"/>
                <w:color w:val="000000"/>
                <w:kern w:val="0"/>
                <w:szCs w:val="21"/>
                <w:lang w:bidi="ar"/>
              </w:rPr>
            </w:pPr>
          </w:p>
        </w:tc>
        <w:tc>
          <w:tcPr>
            <w:tcW w:w="1529" w:type="dxa"/>
            <w:tcBorders>
              <w:tl2br w:val="nil"/>
              <w:tr2bl w:val="nil"/>
            </w:tcBorders>
            <w:shd w:val="clear" w:color="auto" w:fill="auto"/>
            <w:noWrap/>
            <w:tcMar>
              <w:top w:w="15" w:type="dxa"/>
              <w:left w:w="15" w:type="dxa"/>
              <w:right w:w="15" w:type="dxa"/>
            </w:tcMar>
            <w:vAlign w:val="center"/>
          </w:tcPr>
          <w:p w14:paraId="736C22A1">
            <w:pPr>
              <w:widowControl/>
              <w:jc w:val="center"/>
              <w:rPr>
                <w:rFonts w:ascii="宋体" w:hAnsi="宋体" w:cs="宋体"/>
                <w:snapToGrid w:val="0"/>
                <w:color w:val="000000"/>
                <w:kern w:val="0"/>
                <w:szCs w:val="21"/>
                <w:lang w:bidi="ar"/>
              </w:rPr>
            </w:pPr>
          </w:p>
        </w:tc>
      </w:tr>
    </w:tbl>
    <w:p w14:paraId="0444FA23">
      <w:pPr>
        <w:spacing w:line="360" w:lineRule="auto"/>
        <w:rPr>
          <w:rFonts w:ascii="宋体" w:hAnsi="宋体"/>
          <w:b/>
          <w:bCs/>
          <w:sz w:val="22"/>
          <w:szCs w:val="22"/>
        </w:rPr>
      </w:pPr>
    </w:p>
    <w:p w14:paraId="2F101792">
      <w:pPr>
        <w:pStyle w:val="23"/>
        <w:rPr>
          <w:rFonts w:ascii="宋体" w:hAnsi="宋体"/>
          <w:b/>
          <w:bCs/>
          <w:sz w:val="22"/>
          <w:szCs w:val="22"/>
        </w:rPr>
      </w:pPr>
    </w:p>
    <w:p w14:paraId="7286EB45"/>
    <w:p w14:paraId="7B7BC7A8">
      <w:pPr>
        <w:spacing w:line="360" w:lineRule="auto"/>
        <w:rPr>
          <w:rFonts w:ascii="宋体" w:hAnsi="宋体"/>
          <w:b/>
          <w:bCs/>
          <w:sz w:val="22"/>
          <w:szCs w:val="22"/>
        </w:rPr>
      </w:pPr>
      <w:r>
        <w:rPr>
          <w:rFonts w:hint="eastAsia" w:ascii="宋体" w:hAnsi="宋体"/>
          <w:b/>
          <w:bCs/>
          <w:sz w:val="22"/>
          <w:szCs w:val="22"/>
        </w:rPr>
        <w:t>说明：</w:t>
      </w:r>
    </w:p>
    <w:p w14:paraId="076C2C6A">
      <w:pPr>
        <w:spacing w:line="360" w:lineRule="auto"/>
        <w:rPr>
          <w:rFonts w:ascii="宋体" w:hAnsi="宋体"/>
          <w:b/>
          <w:bCs/>
          <w:sz w:val="22"/>
          <w:szCs w:val="22"/>
        </w:rPr>
      </w:pPr>
      <w:r>
        <w:rPr>
          <w:rFonts w:ascii="宋体" w:hAnsi="宋体"/>
          <w:b/>
          <w:bCs/>
          <w:sz w:val="22"/>
          <w:szCs w:val="22"/>
        </w:rPr>
        <w:t>1.★不提供分项报价表的投标文件将被视为未实质性响应招标文件。</w:t>
      </w:r>
    </w:p>
    <w:p w14:paraId="04FD19CF">
      <w:pPr>
        <w:spacing w:line="360" w:lineRule="auto"/>
        <w:rPr>
          <w:rFonts w:ascii="宋体" w:hAnsi="宋体"/>
          <w:b/>
          <w:bCs/>
          <w:sz w:val="22"/>
          <w:szCs w:val="22"/>
        </w:rPr>
      </w:pPr>
      <w:r>
        <w:rPr>
          <w:rFonts w:ascii="宋体" w:hAnsi="宋体"/>
          <w:b/>
          <w:color w:val="000000"/>
          <w:sz w:val="22"/>
          <w:szCs w:val="22"/>
        </w:rPr>
        <w:t>2.★维修费用为现场交钥匙价，包含维修材料的供货、包装、运输、仓储、装卸、</w:t>
      </w:r>
      <w:r>
        <w:rPr>
          <w:rFonts w:hint="eastAsia" w:ascii="宋体" w:hAnsi="宋体"/>
          <w:b/>
          <w:color w:val="000000"/>
          <w:sz w:val="22"/>
          <w:szCs w:val="22"/>
          <w:lang w:eastAsia="zh-CN"/>
        </w:rPr>
        <w:t>拆除、安装、调试、浙江省特种设备科学研究院检测费用、</w:t>
      </w:r>
      <w:r>
        <w:rPr>
          <w:rFonts w:ascii="宋体" w:hAnsi="宋体"/>
          <w:b/>
          <w:color w:val="000000"/>
          <w:sz w:val="22"/>
          <w:szCs w:val="22"/>
        </w:rPr>
        <w:t>验收、售后服务、人工、保险、交通费、13%增值税税金、平台服务费等一切费用（现场维修时产生的用电、用水费用均不含在投标报价内，由招标人负责），实行固定费用总包干。该维修费用已涵盖履行过程中一切风险（包括但不限于材料、人工价格上涨，发生安全事故造成的损害赔偿）。</w:t>
      </w:r>
    </w:p>
    <w:p w14:paraId="219D3D91">
      <w:pPr>
        <w:rPr>
          <w:rFonts w:ascii="宋体" w:hAnsi="宋体"/>
          <w:sz w:val="22"/>
          <w:szCs w:val="22"/>
        </w:rPr>
      </w:pPr>
    </w:p>
    <w:p w14:paraId="3B525C49">
      <w:pPr>
        <w:rPr>
          <w:rFonts w:ascii="宋体" w:hAnsi="宋体"/>
          <w:sz w:val="22"/>
          <w:szCs w:val="22"/>
        </w:rPr>
      </w:pPr>
    </w:p>
    <w:p w14:paraId="01A62153">
      <w:pPr>
        <w:spacing w:before="156" w:beforeLines="50" w:after="156" w:afterLines="50" w:line="400" w:lineRule="exact"/>
        <w:ind w:firstLine="5390" w:firstLineChars="2450"/>
        <w:rPr>
          <w:rFonts w:ascii="宋体" w:hAnsi="宋体"/>
          <w:sz w:val="22"/>
          <w:szCs w:val="22"/>
        </w:rPr>
      </w:pPr>
      <w:r>
        <w:rPr>
          <w:rFonts w:hint="eastAsia" w:ascii="宋体" w:hAnsi="宋体"/>
          <w:sz w:val="22"/>
          <w:szCs w:val="22"/>
        </w:rPr>
        <w:t>投标人全称（加盖单位公章）：</w:t>
      </w:r>
      <w:r>
        <w:rPr>
          <w:rFonts w:ascii="宋体" w:hAnsi="宋体"/>
          <w:sz w:val="22"/>
          <w:szCs w:val="22"/>
        </w:rPr>
        <w:t xml:space="preserve"> </w:t>
      </w:r>
    </w:p>
    <w:p w14:paraId="019381FA">
      <w:pPr>
        <w:spacing w:before="156" w:beforeLines="50" w:after="156" w:afterLines="50" w:line="400" w:lineRule="exact"/>
        <w:ind w:firstLine="5390" w:firstLineChars="2450"/>
        <w:rPr>
          <w:rFonts w:ascii="宋体" w:hAnsi="宋体"/>
          <w:sz w:val="22"/>
          <w:szCs w:val="22"/>
        </w:rPr>
      </w:pPr>
      <w:r>
        <w:rPr>
          <w:rFonts w:hint="eastAsia" w:ascii="宋体" w:hAnsi="宋体"/>
          <w:sz w:val="22"/>
          <w:szCs w:val="22"/>
        </w:rPr>
        <w:t>法定代表人或授权代表（签字</w:t>
      </w:r>
      <w:r>
        <w:rPr>
          <w:rFonts w:hint="eastAsia" w:ascii="宋体" w:hAnsi="宋体" w:cs="宋体"/>
          <w:sz w:val="22"/>
          <w:szCs w:val="22"/>
        </w:rPr>
        <w:t>或盖章</w:t>
      </w:r>
      <w:r>
        <w:rPr>
          <w:rFonts w:hint="eastAsia" w:ascii="宋体" w:hAnsi="宋体"/>
          <w:sz w:val="22"/>
          <w:szCs w:val="22"/>
        </w:rPr>
        <w:t>）：</w:t>
      </w:r>
    </w:p>
    <w:p w14:paraId="7384D5BF">
      <w:pPr>
        <w:spacing w:before="156" w:beforeLines="50" w:after="156" w:afterLines="50" w:line="400" w:lineRule="exact"/>
        <w:ind w:firstLine="5390" w:firstLineChars="2450"/>
        <w:rPr>
          <w:rFonts w:ascii="宋体" w:hAnsi="宋体"/>
          <w:sz w:val="22"/>
          <w:szCs w:val="22"/>
        </w:rPr>
      </w:pPr>
      <w:r>
        <w:rPr>
          <w:rFonts w:hint="eastAsia" w:ascii="宋体" w:hAnsi="宋体"/>
          <w:sz w:val="22"/>
          <w:szCs w:val="22"/>
        </w:rPr>
        <w:t>日</w:t>
      </w:r>
      <w:r>
        <w:rPr>
          <w:rFonts w:ascii="宋体" w:hAnsi="宋体"/>
          <w:sz w:val="22"/>
          <w:szCs w:val="22"/>
        </w:rPr>
        <w:t xml:space="preserve"> </w:t>
      </w:r>
      <w:r>
        <w:rPr>
          <w:rFonts w:hint="eastAsia" w:ascii="宋体" w:hAnsi="宋体"/>
          <w:sz w:val="22"/>
          <w:szCs w:val="22"/>
        </w:rPr>
        <w:t>期：</w:t>
      </w:r>
      <w:r>
        <w:rPr>
          <w:rFonts w:ascii="宋体" w:hAnsi="宋体"/>
          <w:sz w:val="22"/>
          <w:szCs w:val="22"/>
        </w:rPr>
        <w:t xml:space="preserve">  </w:t>
      </w:r>
      <w:r>
        <w:rPr>
          <w:rFonts w:hint="eastAsia" w:ascii="宋体" w:hAnsi="宋体"/>
          <w:sz w:val="22"/>
          <w:szCs w:val="22"/>
        </w:rPr>
        <w:t>年</w:t>
      </w:r>
      <w:r>
        <w:rPr>
          <w:rFonts w:ascii="宋体" w:hAnsi="宋体"/>
          <w:sz w:val="22"/>
          <w:szCs w:val="22"/>
        </w:rPr>
        <w:t xml:space="preserve">  </w:t>
      </w:r>
      <w:r>
        <w:rPr>
          <w:rFonts w:hint="eastAsia" w:ascii="宋体" w:hAnsi="宋体"/>
          <w:sz w:val="22"/>
          <w:szCs w:val="22"/>
        </w:rPr>
        <w:t>月</w:t>
      </w:r>
      <w:r>
        <w:rPr>
          <w:rFonts w:ascii="宋体" w:hAnsi="宋体"/>
          <w:sz w:val="22"/>
          <w:szCs w:val="22"/>
        </w:rPr>
        <w:t xml:space="preserve">  </w:t>
      </w:r>
      <w:r>
        <w:rPr>
          <w:rFonts w:hint="eastAsia" w:ascii="宋体" w:hAnsi="宋体"/>
          <w:sz w:val="22"/>
          <w:szCs w:val="22"/>
        </w:rPr>
        <w:t>日</w:t>
      </w:r>
    </w:p>
    <w:p w14:paraId="1E9EC562">
      <w:pPr>
        <w:spacing w:line="380" w:lineRule="exact"/>
        <w:jc w:val="left"/>
        <w:rPr>
          <w:rFonts w:ascii="宋体" w:hAnsi="宋体" w:cs="宋体"/>
          <w:szCs w:val="21"/>
        </w:rPr>
      </w:pPr>
    </w:p>
    <w:sectPr>
      <w:footerReference r:id="rId4" w:type="default"/>
      <w:pgSz w:w="11906" w:h="16838"/>
      <w:pgMar w:top="1440" w:right="1599" w:bottom="1440" w:left="1797" w:header="680" w:footer="680" w:gutter="0"/>
      <w:pgBorders>
        <w:top w:val="none" w:sz="0" w:space="0"/>
        <w:left w:val="none" w:sz="0" w:space="0"/>
        <w:bottom w:val="none" w:sz="0" w:space="0"/>
        <w:right w:val="none" w:sz="0" w:space="0"/>
      </w:pgBorders>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roman"/>
    <w:pitch w:val="default"/>
    <w:sig w:usb0="FFFFFFFF" w:usb1="E9FFFFFF" w:usb2="0000003F" w:usb3="00000000" w:csb0="603F01FF" w:csb1="FFFF0000"/>
  </w:font>
  <w:font w:name="Heiti TC">
    <w:altName w:val="宋体"/>
    <w:panose1 w:val="00000000000000000000"/>
    <w:charset w:val="00"/>
    <w:family w:val="swiss"/>
    <w:pitch w:val="default"/>
    <w:sig w:usb0="00000000" w:usb1="00000000" w:usb2="00000000" w:usb3="00000000" w:csb0="00000001"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altName w:val="Arial Unicode MS"/>
    <w:panose1 w:val="02010601030101010101"/>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346D6">
    <w:pPr>
      <w:pStyle w:val="18"/>
      <w:tabs>
        <w:tab w:val="clear" w:pos="4153"/>
      </w:tabs>
      <w:jc w:val="center"/>
    </w:pPr>
  </w:p>
  <w:p w14:paraId="49BB30DC"/>
  <w:p w14:paraId="1FD534C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B3F44">
    <w:pPr>
      <w:pStyle w:val="18"/>
      <w:tabs>
        <w:tab w:val="clear" w:pos="4153"/>
      </w:tabs>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6205" cy="139700"/>
                      </a:xfrm>
                      <a:prstGeom prst="rect">
                        <a:avLst/>
                      </a:prstGeom>
                      <a:noFill/>
                      <a:ln w="6350">
                        <a:noFill/>
                      </a:ln>
                    </wps:spPr>
                    <wps:txbx>
                      <w:txbxContent>
                        <w:p w14:paraId="0AB8B8ED">
                          <w:pPr>
                            <w:pStyle w:val="18"/>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4BeJKNIAAAAD&#10;AQAADwAAAGRycy9kb3ducmV2LnhtbE2PwW7CMBBE75X6D9ZW6q3YhKpCaRykIsIRqYRDjyZeklB7&#10;HdkmpH+P6aW9rDSa0czbYjVZw0b0oXckYT4TwJAap3tqJRzq6mUJLERFWhlHKOEHA6zKx4dC5dpd&#10;6RPHfWxZKqGQKwldjEPOeWg6tCrM3ICUvJPzVsUkfcu1V9dUbg3PhHjjVvWUFjo14LrD5nt/sRLW&#10;VV37EYM3X7itFufdxytuJimfn+biHVjEKf6F4Y6f0KFMTEd3IR2YkZAeib/37i0XwI4SskwALwv+&#10;n728AVBLAwQUAAAACACHTuJA4bxKWC4CAABTBAAADgAAAGRycy9lMm9Eb2MueG1srVTLbhMxFN0j&#10;8Q+W92QmqRogyqQKjYqQKlopINaOx5MZyS/ZTmfKB8AfsGLTPd+V7+DYM5OiwqILNs4d3+c59zjL&#10;i05Jciecb4wu6HSSUyI0N2Wj9wX9/Onq1RtKfGC6ZNJoUdB74enF6uWLZWsXYmZqI0vhCIpov2ht&#10;QesQ7CLLPK+FYn5irNBwVsYpFvDp9lnpWIvqSmazPJ9nrXGldYYL73G76Z10qOieU9BUVcPFxvCD&#10;Ejr0VZ2QLACSrxvr6SpNW1WCh5uq8iIQWVAgDelEE9i7eGarJVvsHbN1w4cR2HNGeIJJsUaj6anU&#10;hgVGDq75q5RquDPeVGHCjcp6IIkRoJjmT7jZ1syKhAVUe3si3f+/svzj3a0jTQklUKKZwsKPP74f&#10;f/46Pnwj00hPa/0CUVuLuNC9M10MHe49LiPqrnIq/gIPgR/k3p/IFV0gPCZN57P8nBIO1/Ts7es8&#10;kZ89Jlvnw3thFIlGQR12lyhld9c+oCFCx5DYS5urRsq0P6lJW9D52XmeEk4eZEiNxAihHzVaodt1&#10;w/w7U94DljO9LrzlVw2aXzMfbpmDEIAETyXc4KikQRMzWJTUxn39132Mx37gpaSFsAqq8Y4okR80&#10;9hY1OBpuNHajoQ/q0kCp2AVmSSYSXJCjWTmjvuD9rGMPuJjm6FTQMJqXoRc33h8X63UKgtIsC9d6&#10;a3ksHcnzdn0IIDDxGknpmRi4gtYS3cO7iGL+8ztFPf4XrH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4BeJKNIAAAADAQAADwAAAAAAAAABACAAAAAiAAAAZHJzL2Rvd25yZXYueG1sUEsBAhQAFAAA&#10;AAgAh07iQOG8SlguAgAAUwQAAA4AAAAAAAAAAQAgAAAAIQEAAGRycy9lMm9Eb2MueG1sUEsFBgAA&#10;AAAGAAYAWQEAAMEFAAAAAA==&#10;">
              <v:fill on="f" focussize="0,0"/>
              <v:stroke on="f" weight="0.5pt"/>
              <v:imagedata o:title=""/>
              <o:lock v:ext="edit" aspectratio="f"/>
              <v:textbox inset="0mm,0mm,0mm,0mm" style="mso-fit-shape-to-text:t;">
                <w:txbxContent>
                  <w:p w14:paraId="0AB8B8ED">
                    <w:pPr>
                      <w:pStyle w:val="18"/>
                    </w:pPr>
                    <w:r>
                      <w:fldChar w:fldCharType="begin"/>
                    </w:r>
                    <w:r>
                      <w:instrText xml:space="preserve"> PAGE  \* MERGEFORMAT </w:instrText>
                    </w:r>
                    <w:r>
                      <w:fldChar w:fldCharType="separate"/>
                    </w:r>
                    <w:r>
                      <w:t>80</w:t>
                    </w:r>
                    <w:r>
                      <w:fldChar w:fldCharType="end"/>
                    </w:r>
                  </w:p>
                </w:txbxContent>
              </v:textbox>
            </v:shape>
          </w:pict>
        </mc:Fallback>
      </mc:AlternateContent>
    </w:r>
  </w:p>
  <w:p w14:paraId="4254A6F6"/>
  <w:p w14:paraId="2D02E3D6"/>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8"/>
    <w:multiLevelType w:val="singleLevel"/>
    <w:tmpl w:val="FFFFFF88"/>
    <w:lvl w:ilvl="0" w:tentative="0">
      <w:start w:val="1"/>
      <w:numFmt w:val="decimal"/>
      <w:pStyle w:val="4"/>
      <w:lvlText w:val="%1."/>
      <w:lvlJc w:val="left"/>
      <w:pPr>
        <w:tabs>
          <w:tab w:val="left" w:pos="360"/>
        </w:tabs>
        <w:ind w:left="360" w:hanging="360" w:hangingChars="200"/>
      </w:pPr>
    </w:lvl>
  </w:abstractNum>
  <w:abstractNum w:abstractNumId="1">
    <w:nsid w:val="1CE2491C"/>
    <w:multiLevelType w:val="multilevel"/>
    <w:tmpl w:val="1CE2491C"/>
    <w:lvl w:ilvl="0" w:tentative="0">
      <w:start w:val="1"/>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rPr>
        <w:rFonts w:hint="default" w:ascii="Times New Roman" w:hAnsi="Times New Roman" w:cs="Times New Roman"/>
      </w:rPr>
    </w:lvl>
    <w:lvl w:ilvl="2" w:tentative="0">
      <w:start w:val="1"/>
      <w:numFmt w:val="decimal"/>
      <w:lvlText w:val="%3."/>
      <w:lvlJc w:val="left"/>
      <w:pPr>
        <w:tabs>
          <w:tab w:val="left" w:pos="2160"/>
        </w:tabs>
        <w:ind w:left="2160" w:hanging="360"/>
      </w:pPr>
      <w:rPr>
        <w:rFonts w:hint="default" w:ascii="Times New Roman" w:hAnsi="Times New Roman" w:cs="Times New Roman"/>
      </w:rPr>
    </w:lvl>
    <w:lvl w:ilvl="3" w:tentative="0">
      <w:start w:val="1"/>
      <w:numFmt w:val="decimal"/>
      <w:lvlText w:val="%4."/>
      <w:lvlJc w:val="left"/>
      <w:pPr>
        <w:tabs>
          <w:tab w:val="left" w:pos="2880"/>
        </w:tabs>
        <w:ind w:left="2880" w:hanging="360"/>
      </w:pPr>
      <w:rPr>
        <w:rFonts w:hint="default" w:ascii="Times New Roman" w:hAnsi="Times New Roman" w:cs="Times New Roman"/>
      </w:rPr>
    </w:lvl>
    <w:lvl w:ilvl="4" w:tentative="0">
      <w:start w:val="1"/>
      <w:numFmt w:val="decimal"/>
      <w:lvlText w:val="%5."/>
      <w:lvlJc w:val="left"/>
      <w:pPr>
        <w:tabs>
          <w:tab w:val="left" w:pos="3600"/>
        </w:tabs>
        <w:ind w:left="3600" w:hanging="360"/>
      </w:pPr>
      <w:rPr>
        <w:rFonts w:hint="default" w:ascii="Times New Roman" w:hAnsi="Times New Roman" w:cs="Times New Roman"/>
      </w:rPr>
    </w:lvl>
    <w:lvl w:ilvl="5" w:tentative="0">
      <w:start w:val="1"/>
      <w:numFmt w:val="decimal"/>
      <w:lvlText w:val="%6."/>
      <w:lvlJc w:val="left"/>
      <w:pPr>
        <w:tabs>
          <w:tab w:val="left" w:pos="4320"/>
        </w:tabs>
        <w:ind w:left="4320" w:hanging="360"/>
      </w:pPr>
      <w:rPr>
        <w:rFonts w:hint="default" w:ascii="Times New Roman" w:hAnsi="Times New Roman" w:cs="Times New Roman"/>
      </w:rPr>
    </w:lvl>
    <w:lvl w:ilvl="6" w:tentative="0">
      <w:start w:val="1"/>
      <w:numFmt w:val="decimal"/>
      <w:lvlText w:val="%7."/>
      <w:lvlJc w:val="left"/>
      <w:pPr>
        <w:tabs>
          <w:tab w:val="left" w:pos="5040"/>
        </w:tabs>
        <w:ind w:left="5040" w:hanging="360"/>
      </w:pPr>
      <w:rPr>
        <w:rFonts w:hint="default" w:ascii="Times New Roman" w:hAnsi="Times New Roman" w:cs="Times New Roman"/>
      </w:rPr>
    </w:lvl>
    <w:lvl w:ilvl="7" w:tentative="0">
      <w:start w:val="1"/>
      <w:numFmt w:val="decimal"/>
      <w:lvlText w:val="%8."/>
      <w:lvlJc w:val="left"/>
      <w:pPr>
        <w:tabs>
          <w:tab w:val="left" w:pos="5760"/>
        </w:tabs>
        <w:ind w:left="5760" w:hanging="360"/>
      </w:pPr>
      <w:rPr>
        <w:rFonts w:hint="default" w:ascii="Times New Roman" w:hAnsi="Times New Roman" w:cs="Times New Roman"/>
      </w:rPr>
    </w:lvl>
    <w:lvl w:ilvl="8" w:tentative="0">
      <w:start w:val="1"/>
      <w:numFmt w:val="decimal"/>
      <w:lvlText w:val="%9."/>
      <w:lvlJc w:val="left"/>
      <w:pPr>
        <w:tabs>
          <w:tab w:val="left" w:pos="6480"/>
        </w:tabs>
        <w:ind w:left="6480" w:hanging="360"/>
      </w:pPr>
      <w:rPr>
        <w:rFonts w:hint="default" w:ascii="Times New Roman" w:hAnsi="Times New Roman"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hideSpellingErrors/>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1YTAwYTJmNzlmZmM1MjI5MWQxNTg1OTFiNzA1ZjkifQ=="/>
    <w:docVar w:name="KSO_WPS_MARK_KEY" w:val="f98eb26b-2b65-444d-b559-bcb24e84c925"/>
  </w:docVars>
  <w:rsids>
    <w:rsidRoot w:val="00172A27"/>
    <w:rsid w:val="000015F7"/>
    <w:rsid w:val="0000667E"/>
    <w:rsid w:val="00007B6A"/>
    <w:rsid w:val="00013F14"/>
    <w:rsid w:val="000167D1"/>
    <w:rsid w:val="00026D57"/>
    <w:rsid w:val="00031F8B"/>
    <w:rsid w:val="0005368D"/>
    <w:rsid w:val="0006206F"/>
    <w:rsid w:val="0007474E"/>
    <w:rsid w:val="00075C6B"/>
    <w:rsid w:val="0007701A"/>
    <w:rsid w:val="00080624"/>
    <w:rsid w:val="000A1109"/>
    <w:rsid w:val="000B679B"/>
    <w:rsid w:val="000B6CC0"/>
    <w:rsid w:val="000B7228"/>
    <w:rsid w:val="000B7B97"/>
    <w:rsid w:val="000C0366"/>
    <w:rsid w:val="000C0F54"/>
    <w:rsid w:val="000C0FCD"/>
    <w:rsid w:val="000C7174"/>
    <w:rsid w:val="000D02D4"/>
    <w:rsid w:val="000E1D9B"/>
    <w:rsid w:val="000E29EA"/>
    <w:rsid w:val="000E489B"/>
    <w:rsid w:val="000F1DA6"/>
    <w:rsid w:val="000F22FF"/>
    <w:rsid w:val="00101084"/>
    <w:rsid w:val="00102871"/>
    <w:rsid w:val="001051D0"/>
    <w:rsid w:val="00106AF3"/>
    <w:rsid w:val="00122DD2"/>
    <w:rsid w:val="00125C9E"/>
    <w:rsid w:val="00125F33"/>
    <w:rsid w:val="00134976"/>
    <w:rsid w:val="00135A9C"/>
    <w:rsid w:val="0014160D"/>
    <w:rsid w:val="00143440"/>
    <w:rsid w:val="00146B74"/>
    <w:rsid w:val="00156290"/>
    <w:rsid w:val="00157CB9"/>
    <w:rsid w:val="00162C76"/>
    <w:rsid w:val="001671E1"/>
    <w:rsid w:val="00172A27"/>
    <w:rsid w:val="00182998"/>
    <w:rsid w:val="001843DE"/>
    <w:rsid w:val="00190964"/>
    <w:rsid w:val="00190C0E"/>
    <w:rsid w:val="00192C86"/>
    <w:rsid w:val="00192E90"/>
    <w:rsid w:val="001A25F9"/>
    <w:rsid w:val="001B2CB5"/>
    <w:rsid w:val="001C7EBF"/>
    <w:rsid w:val="001D1612"/>
    <w:rsid w:val="001D2D44"/>
    <w:rsid w:val="001D58F7"/>
    <w:rsid w:val="001E07E1"/>
    <w:rsid w:val="001E7108"/>
    <w:rsid w:val="001E766F"/>
    <w:rsid w:val="001F0D57"/>
    <w:rsid w:val="001F2D01"/>
    <w:rsid w:val="001F643D"/>
    <w:rsid w:val="00202999"/>
    <w:rsid w:val="00206C18"/>
    <w:rsid w:val="00211BF2"/>
    <w:rsid w:val="0021255D"/>
    <w:rsid w:val="00213161"/>
    <w:rsid w:val="00222BA9"/>
    <w:rsid w:val="00223754"/>
    <w:rsid w:val="002259F9"/>
    <w:rsid w:val="00227D08"/>
    <w:rsid w:val="00233F62"/>
    <w:rsid w:val="002351C3"/>
    <w:rsid w:val="00242B8F"/>
    <w:rsid w:val="0024377C"/>
    <w:rsid w:val="0024583D"/>
    <w:rsid w:val="002464C2"/>
    <w:rsid w:val="0026019D"/>
    <w:rsid w:val="00260674"/>
    <w:rsid w:val="002619DD"/>
    <w:rsid w:val="00262DCF"/>
    <w:rsid w:val="00264A11"/>
    <w:rsid w:val="002661F4"/>
    <w:rsid w:val="00274499"/>
    <w:rsid w:val="00285DB0"/>
    <w:rsid w:val="0029661B"/>
    <w:rsid w:val="002A2B8F"/>
    <w:rsid w:val="002A4789"/>
    <w:rsid w:val="002A5907"/>
    <w:rsid w:val="002A7D08"/>
    <w:rsid w:val="002B0054"/>
    <w:rsid w:val="002B2570"/>
    <w:rsid w:val="002B5EDB"/>
    <w:rsid w:val="002C711C"/>
    <w:rsid w:val="002D0778"/>
    <w:rsid w:val="002D43E4"/>
    <w:rsid w:val="002D497A"/>
    <w:rsid w:val="002D5D0F"/>
    <w:rsid w:val="002E0004"/>
    <w:rsid w:val="002E48E0"/>
    <w:rsid w:val="002F312A"/>
    <w:rsid w:val="00302285"/>
    <w:rsid w:val="0030564F"/>
    <w:rsid w:val="00317102"/>
    <w:rsid w:val="0032795D"/>
    <w:rsid w:val="00336155"/>
    <w:rsid w:val="00337B31"/>
    <w:rsid w:val="00343343"/>
    <w:rsid w:val="00345768"/>
    <w:rsid w:val="00345C1F"/>
    <w:rsid w:val="00346882"/>
    <w:rsid w:val="00347DF9"/>
    <w:rsid w:val="003528D4"/>
    <w:rsid w:val="00356BA5"/>
    <w:rsid w:val="00370384"/>
    <w:rsid w:val="0038054E"/>
    <w:rsid w:val="00381538"/>
    <w:rsid w:val="003842BE"/>
    <w:rsid w:val="003901CA"/>
    <w:rsid w:val="00390297"/>
    <w:rsid w:val="00393E1C"/>
    <w:rsid w:val="0039479C"/>
    <w:rsid w:val="003958CE"/>
    <w:rsid w:val="003A0DCA"/>
    <w:rsid w:val="003A12DC"/>
    <w:rsid w:val="003C1225"/>
    <w:rsid w:val="003C307B"/>
    <w:rsid w:val="003C6EA1"/>
    <w:rsid w:val="003C72DE"/>
    <w:rsid w:val="003E4248"/>
    <w:rsid w:val="003F035F"/>
    <w:rsid w:val="003F0690"/>
    <w:rsid w:val="003F1D8F"/>
    <w:rsid w:val="003F6794"/>
    <w:rsid w:val="0040166F"/>
    <w:rsid w:val="00404D0E"/>
    <w:rsid w:val="00406623"/>
    <w:rsid w:val="0041425F"/>
    <w:rsid w:val="00415BAA"/>
    <w:rsid w:val="004177E4"/>
    <w:rsid w:val="0043178A"/>
    <w:rsid w:val="0043233B"/>
    <w:rsid w:val="00433B09"/>
    <w:rsid w:val="004377ED"/>
    <w:rsid w:val="004418E5"/>
    <w:rsid w:val="00451DDE"/>
    <w:rsid w:val="004524D4"/>
    <w:rsid w:val="004539B3"/>
    <w:rsid w:val="004566BB"/>
    <w:rsid w:val="004631F7"/>
    <w:rsid w:val="00463787"/>
    <w:rsid w:val="00465010"/>
    <w:rsid w:val="00471977"/>
    <w:rsid w:val="00481328"/>
    <w:rsid w:val="004840F1"/>
    <w:rsid w:val="00485558"/>
    <w:rsid w:val="00490819"/>
    <w:rsid w:val="00490B57"/>
    <w:rsid w:val="00492357"/>
    <w:rsid w:val="004A3276"/>
    <w:rsid w:val="004C246E"/>
    <w:rsid w:val="004C4AC9"/>
    <w:rsid w:val="004D4754"/>
    <w:rsid w:val="004D5FC5"/>
    <w:rsid w:val="004D6700"/>
    <w:rsid w:val="004E3135"/>
    <w:rsid w:val="004E648F"/>
    <w:rsid w:val="004F724B"/>
    <w:rsid w:val="005016AC"/>
    <w:rsid w:val="005042C3"/>
    <w:rsid w:val="00504A63"/>
    <w:rsid w:val="0050688C"/>
    <w:rsid w:val="005074DE"/>
    <w:rsid w:val="00514C9B"/>
    <w:rsid w:val="005173B8"/>
    <w:rsid w:val="005223AC"/>
    <w:rsid w:val="00526A29"/>
    <w:rsid w:val="0053589C"/>
    <w:rsid w:val="00540C56"/>
    <w:rsid w:val="0054328B"/>
    <w:rsid w:val="00564869"/>
    <w:rsid w:val="00567686"/>
    <w:rsid w:val="00570108"/>
    <w:rsid w:val="00572423"/>
    <w:rsid w:val="005748D9"/>
    <w:rsid w:val="00574AE4"/>
    <w:rsid w:val="005773F9"/>
    <w:rsid w:val="00577875"/>
    <w:rsid w:val="0058295D"/>
    <w:rsid w:val="00586F26"/>
    <w:rsid w:val="00591374"/>
    <w:rsid w:val="00594DC1"/>
    <w:rsid w:val="005971E2"/>
    <w:rsid w:val="005A1B8C"/>
    <w:rsid w:val="005B2F9E"/>
    <w:rsid w:val="005B75C2"/>
    <w:rsid w:val="005C28D0"/>
    <w:rsid w:val="005C31C3"/>
    <w:rsid w:val="005C5AE4"/>
    <w:rsid w:val="005C6996"/>
    <w:rsid w:val="005D168C"/>
    <w:rsid w:val="005D1FFE"/>
    <w:rsid w:val="005D2E0D"/>
    <w:rsid w:val="005E001C"/>
    <w:rsid w:val="005E5138"/>
    <w:rsid w:val="005F4753"/>
    <w:rsid w:val="005F5C70"/>
    <w:rsid w:val="005F6D02"/>
    <w:rsid w:val="005F6FBA"/>
    <w:rsid w:val="006032AC"/>
    <w:rsid w:val="00603505"/>
    <w:rsid w:val="00604BA8"/>
    <w:rsid w:val="00605068"/>
    <w:rsid w:val="00607CFC"/>
    <w:rsid w:val="00607FC3"/>
    <w:rsid w:val="00625546"/>
    <w:rsid w:val="006310E2"/>
    <w:rsid w:val="00633BA7"/>
    <w:rsid w:val="00635A33"/>
    <w:rsid w:val="00637B0B"/>
    <w:rsid w:val="00637C7A"/>
    <w:rsid w:val="00640A77"/>
    <w:rsid w:val="0064286D"/>
    <w:rsid w:val="00643474"/>
    <w:rsid w:val="00645AF1"/>
    <w:rsid w:val="00647CA4"/>
    <w:rsid w:val="006606A3"/>
    <w:rsid w:val="00660835"/>
    <w:rsid w:val="00664FA5"/>
    <w:rsid w:val="00665F63"/>
    <w:rsid w:val="00666964"/>
    <w:rsid w:val="00666BF3"/>
    <w:rsid w:val="00666D1C"/>
    <w:rsid w:val="0067428C"/>
    <w:rsid w:val="00681345"/>
    <w:rsid w:val="00685FEC"/>
    <w:rsid w:val="00691955"/>
    <w:rsid w:val="00695D5A"/>
    <w:rsid w:val="00696604"/>
    <w:rsid w:val="00697025"/>
    <w:rsid w:val="006A2A4A"/>
    <w:rsid w:val="006A7A3B"/>
    <w:rsid w:val="006C3BF0"/>
    <w:rsid w:val="006C3EC7"/>
    <w:rsid w:val="006C769A"/>
    <w:rsid w:val="006D205A"/>
    <w:rsid w:val="006D3236"/>
    <w:rsid w:val="006D5960"/>
    <w:rsid w:val="006F108A"/>
    <w:rsid w:val="00700DF5"/>
    <w:rsid w:val="007036F4"/>
    <w:rsid w:val="00703EF4"/>
    <w:rsid w:val="007136DE"/>
    <w:rsid w:val="00714EE3"/>
    <w:rsid w:val="007157DF"/>
    <w:rsid w:val="00721566"/>
    <w:rsid w:val="0073694D"/>
    <w:rsid w:val="00736B0B"/>
    <w:rsid w:val="0074125D"/>
    <w:rsid w:val="007557FC"/>
    <w:rsid w:val="00760A1B"/>
    <w:rsid w:val="00761ABB"/>
    <w:rsid w:val="00762858"/>
    <w:rsid w:val="00765694"/>
    <w:rsid w:val="0077484E"/>
    <w:rsid w:val="00781B08"/>
    <w:rsid w:val="00784848"/>
    <w:rsid w:val="0078590F"/>
    <w:rsid w:val="00790E93"/>
    <w:rsid w:val="00793585"/>
    <w:rsid w:val="00794B13"/>
    <w:rsid w:val="007A4E3F"/>
    <w:rsid w:val="007A634C"/>
    <w:rsid w:val="007A7553"/>
    <w:rsid w:val="007C46AD"/>
    <w:rsid w:val="007C7BDD"/>
    <w:rsid w:val="007E21E2"/>
    <w:rsid w:val="007F1232"/>
    <w:rsid w:val="00802CC1"/>
    <w:rsid w:val="00805812"/>
    <w:rsid w:val="00805EAB"/>
    <w:rsid w:val="00811749"/>
    <w:rsid w:val="00830DB2"/>
    <w:rsid w:val="008337E3"/>
    <w:rsid w:val="0083428E"/>
    <w:rsid w:val="00835ED9"/>
    <w:rsid w:val="008404F3"/>
    <w:rsid w:val="00841CF6"/>
    <w:rsid w:val="00852B59"/>
    <w:rsid w:val="0085751E"/>
    <w:rsid w:val="0087269E"/>
    <w:rsid w:val="0087680B"/>
    <w:rsid w:val="008807D2"/>
    <w:rsid w:val="00884FA4"/>
    <w:rsid w:val="0089364C"/>
    <w:rsid w:val="00893AF1"/>
    <w:rsid w:val="0089631F"/>
    <w:rsid w:val="008B0EC2"/>
    <w:rsid w:val="008B3D33"/>
    <w:rsid w:val="008B4708"/>
    <w:rsid w:val="008B6961"/>
    <w:rsid w:val="008C2B9F"/>
    <w:rsid w:val="008C7AD3"/>
    <w:rsid w:val="008D0C6C"/>
    <w:rsid w:val="008D1CE3"/>
    <w:rsid w:val="008D3E04"/>
    <w:rsid w:val="008D4F8E"/>
    <w:rsid w:val="008D5B58"/>
    <w:rsid w:val="008D79DC"/>
    <w:rsid w:val="008E18E2"/>
    <w:rsid w:val="008E73C6"/>
    <w:rsid w:val="008E7AC6"/>
    <w:rsid w:val="008F211E"/>
    <w:rsid w:val="008F7D37"/>
    <w:rsid w:val="0090107F"/>
    <w:rsid w:val="00903CEB"/>
    <w:rsid w:val="00904EFC"/>
    <w:rsid w:val="00924E88"/>
    <w:rsid w:val="009251F0"/>
    <w:rsid w:val="00937390"/>
    <w:rsid w:val="00941FB8"/>
    <w:rsid w:val="00945574"/>
    <w:rsid w:val="00951888"/>
    <w:rsid w:val="00952D52"/>
    <w:rsid w:val="009829B4"/>
    <w:rsid w:val="0098455A"/>
    <w:rsid w:val="00984F62"/>
    <w:rsid w:val="0098538C"/>
    <w:rsid w:val="00985603"/>
    <w:rsid w:val="0098673B"/>
    <w:rsid w:val="009922B0"/>
    <w:rsid w:val="00995199"/>
    <w:rsid w:val="00995856"/>
    <w:rsid w:val="0099608B"/>
    <w:rsid w:val="009A09DF"/>
    <w:rsid w:val="009B02BD"/>
    <w:rsid w:val="009C29A6"/>
    <w:rsid w:val="009C40D9"/>
    <w:rsid w:val="009D0AA5"/>
    <w:rsid w:val="009D10ED"/>
    <w:rsid w:val="009D1D0E"/>
    <w:rsid w:val="009D5547"/>
    <w:rsid w:val="009D6360"/>
    <w:rsid w:val="009E2DCB"/>
    <w:rsid w:val="009E5B5D"/>
    <w:rsid w:val="009E7DB3"/>
    <w:rsid w:val="009F3D40"/>
    <w:rsid w:val="009F69EF"/>
    <w:rsid w:val="00A040D5"/>
    <w:rsid w:val="00A042F6"/>
    <w:rsid w:val="00A06574"/>
    <w:rsid w:val="00A2659E"/>
    <w:rsid w:val="00A32D56"/>
    <w:rsid w:val="00A41E02"/>
    <w:rsid w:val="00A45025"/>
    <w:rsid w:val="00A61027"/>
    <w:rsid w:val="00A61DA6"/>
    <w:rsid w:val="00A6476D"/>
    <w:rsid w:val="00A64BEA"/>
    <w:rsid w:val="00A64FD8"/>
    <w:rsid w:val="00A73FCC"/>
    <w:rsid w:val="00A77586"/>
    <w:rsid w:val="00A84301"/>
    <w:rsid w:val="00A86516"/>
    <w:rsid w:val="00A913BF"/>
    <w:rsid w:val="00A96172"/>
    <w:rsid w:val="00A970E1"/>
    <w:rsid w:val="00AA395D"/>
    <w:rsid w:val="00AC02F9"/>
    <w:rsid w:val="00AC13B6"/>
    <w:rsid w:val="00AC24F5"/>
    <w:rsid w:val="00AC39EA"/>
    <w:rsid w:val="00AC4532"/>
    <w:rsid w:val="00AC6402"/>
    <w:rsid w:val="00AD0C1D"/>
    <w:rsid w:val="00AD573F"/>
    <w:rsid w:val="00AD7384"/>
    <w:rsid w:val="00AE0D98"/>
    <w:rsid w:val="00AF051A"/>
    <w:rsid w:val="00AF24E7"/>
    <w:rsid w:val="00AF26EA"/>
    <w:rsid w:val="00AF2D33"/>
    <w:rsid w:val="00AF570D"/>
    <w:rsid w:val="00B00AF3"/>
    <w:rsid w:val="00B068D5"/>
    <w:rsid w:val="00B0789E"/>
    <w:rsid w:val="00B10CBE"/>
    <w:rsid w:val="00B22229"/>
    <w:rsid w:val="00B36846"/>
    <w:rsid w:val="00B41CD4"/>
    <w:rsid w:val="00B44690"/>
    <w:rsid w:val="00B45EDC"/>
    <w:rsid w:val="00B47190"/>
    <w:rsid w:val="00B623AB"/>
    <w:rsid w:val="00B64C71"/>
    <w:rsid w:val="00B77197"/>
    <w:rsid w:val="00B877A7"/>
    <w:rsid w:val="00B9376A"/>
    <w:rsid w:val="00BB259B"/>
    <w:rsid w:val="00BB3A05"/>
    <w:rsid w:val="00BC35C8"/>
    <w:rsid w:val="00BC4191"/>
    <w:rsid w:val="00BC4901"/>
    <w:rsid w:val="00BC6894"/>
    <w:rsid w:val="00BD072C"/>
    <w:rsid w:val="00BD094E"/>
    <w:rsid w:val="00BD11B1"/>
    <w:rsid w:val="00BD2332"/>
    <w:rsid w:val="00BE011F"/>
    <w:rsid w:val="00BE578E"/>
    <w:rsid w:val="00C20968"/>
    <w:rsid w:val="00C247AA"/>
    <w:rsid w:val="00C33A01"/>
    <w:rsid w:val="00C41960"/>
    <w:rsid w:val="00C4546C"/>
    <w:rsid w:val="00C57844"/>
    <w:rsid w:val="00C57BF3"/>
    <w:rsid w:val="00C60B57"/>
    <w:rsid w:val="00C62978"/>
    <w:rsid w:val="00C644CE"/>
    <w:rsid w:val="00C67156"/>
    <w:rsid w:val="00C708F1"/>
    <w:rsid w:val="00C72E47"/>
    <w:rsid w:val="00C740B7"/>
    <w:rsid w:val="00C74F14"/>
    <w:rsid w:val="00C75394"/>
    <w:rsid w:val="00C81242"/>
    <w:rsid w:val="00C831E2"/>
    <w:rsid w:val="00C8626B"/>
    <w:rsid w:val="00C873AF"/>
    <w:rsid w:val="00C94EB2"/>
    <w:rsid w:val="00CA2458"/>
    <w:rsid w:val="00CA3A84"/>
    <w:rsid w:val="00CB108E"/>
    <w:rsid w:val="00CB6A82"/>
    <w:rsid w:val="00CB7443"/>
    <w:rsid w:val="00CC2B34"/>
    <w:rsid w:val="00CC3D33"/>
    <w:rsid w:val="00CC4809"/>
    <w:rsid w:val="00CD49DE"/>
    <w:rsid w:val="00CD547D"/>
    <w:rsid w:val="00CD7FF8"/>
    <w:rsid w:val="00CE1211"/>
    <w:rsid w:val="00CF0F26"/>
    <w:rsid w:val="00CF29E4"/>
    <w:rsid w:val="00CF7663"/>
    <w:rsid w:val="00D03B1A"/>
    <w:rsid w:val="00D04A8E"/>
    <w:rsid w:val="00D050DE"/>
    <w:rsid w:val="00D05F84"/>
    <w:rsid w:val="00D07729"/>
    <w:rsid w:val="00D079BC"/>
    <w:rsid w:val="00D07E18"/>
    <w:rsid w:val="00D15B73"/>
    <w:rsid w:val="00D16DE6"/>
    <w:rsid w:val="00D20CBB"/>
    <w:rsid w:val="00D21769"/>
    <w:rsid w:val="00D32B19"/>
    <w:rsid w:val="00D430A1"/>
    <w:rsid w:val="00D43DD6"/>
    <w:rsid w:val="00D5252B"/>
    <w:rsid w:val="00D6189A"/>
    <w:rsid w:val="00D63DEA"/>
    <w:rsid w:val="00D722A1"/>
    <w:rsid w:val="00D72950"/>
    <w:rsid w:val="00D73E6B"/>
    <w:rsid w:val="00D85DED"/>
    <w:rsid w:val="00D96390"/>
    <w:rsid w:val="00DA48C8"/>
    <w:rsid w:val="00DA4B08"/>
    <w:rsid w:val="00DA642D"/>
    <w:rsid w:val="00DB0116"/>
    <w:rsid w:val="00DB6998"/>
    <w:rsid w:val="00DC218D"/>
    <w:rsid w:val="00DE05AC"/>
    <w:rsid w:val="00DE5404"/>
    <w:rsid w:val="00DE7A3B"/>
    <w:rsid w:val="00DF3F3D"/>
    <w:rsid w:val="00DF468B"/>
    <w:rsid w:val="00E046A7"/>
    <w:rsid w:val="00E110EB"/>
    <w:rsid w:val="00E112FF"/>
    <w:rsid w:val="00E16544"/>
    <w:rsid w:val="00E25DF8"/>
    <w:rsid w:val="00E26202"/>
    <w:rsid w:val="00E302FC"/>
    <w:rsid w:val="00E35FD3"/>
    <w:rsid w:val="00E365FD"/>
    <w:rsid w:val="00E415CC"/>
    <w:rsid w:val="00E454C2"/>
    <w:rsid w:val="00E46820"/>
    <w:rsid w:val="00E56F11"/>
    <w:rsid w:val="00E57658"/>
    <w:rsid w:val="00E77988"/>
    <w:rsid w:val="00E840DD"/>
    <w:rsid w:val="00E85766"/>
    <w:rsid w:val="00E935A9"/>
    <w:rsid w:val="00EB3A24"/>
    <w:rsid w:val="00EB687B"/>
    <w:rsid w:val="00EB74A4"/>
    <w:rsid w:val="00EC2B5B"/>
    <w:rsid w:val="00ED3974"/>
    <w:rsid w:val="00ED6BA0"/>
    <w:rsid w:val="00EE030C"/>
    <w:rsid w:val="00EE0644"/>
    <w:rsid w:val="00EE30CC"/>
    <w:rsid w:val="00EE42C0"/>
    <w:rsid w:val="00EE4883"/>
    <w:rsid w:val="00EE5E99"/>
    <w:rsid w:val="00EF0C62"/>
    <w:rsid w:val="00EF316A"/>
    <w:rsid w:val="00F04845"/>
    <w:rsid w:val="00F05D23"/>
    <w:rsid w:val="00F07EDA"/>
    <w:rsid w:val="00F109D4"/>
    <w:rsid w:val="00F1497F"/>
    <w:rsid w:val="00F14A11"/>
    <w:rsid w:val="00F221F8"/>
    <w:rsid w:val="00F53292"/>
    <w:rsid w:val="00F532C4"/>
    <w:rsid w:val="00F71374"/>
    <w:rsid w:val="00F72C7E"/>
    <w:rsid w:val="00F7440F"/>
    <w:rsid w:val="00F773BD"/>
    <w:rsid w:val="00F85335"/>
    <w:rsid w:val="00F871EE"/>
    <w:rsid w:val="00F87AFD"/>
    <w:rsid w:val="00F965B6"/>
    <w:rsid w:val="00F96B91"/>
    <w:rsid w:val="00F97CBB"/>
    <w:rsid w:val="00FA184D"/>
    <w:rsid w:val="00FA763A"/>
    <w:rsid w:val="00FC402D"/>
    <w:rsid w:val="00FD50D2"/>
    <w:rsid w:val="00FD76B4"/>
    <w:rsid w:val="00FE34E7"/>
    <w:rsid w:val="00FF0BF4"/>
    <w:rsid w:val="01AF7AE1"/>
    <w:rsid w:val="02641A38"/>
    <w:rsid w:val="026F6D89"/>
    <w:rsid w:val="03204795"/>
    <w:rsid w:val="03690165"/>
    <w:rsid w:val="03AD4758"/>
    <w:rsid w:val="03E26573"/>
    <w:rsid w:val="042356A8"/>
    <w:rsid w:val="042E26EB"/>
    <w:rsid w:val="04370F3C"/>
    <w:rsid w:val="04637C26"/>
    <w:rsid w:val="048A3790"/>
    <w:rsid w:val="04DE16BF"/>
    <w:rsid w:val="055C395E"/>
    <w:rsid w:val="061E5425"/>
    <w:rsid w:val="06510617"/>
    <w:rsid w:val="065D5070"/>
    <w:rsid w:val="066E0C7F"/>
    <w:rsid w:val="06D66EBD"/>
    <w:rsid w:val="0715321F"/>
    <w:rsid w:val="07192F98"/>
    <w:rsid w:val="07E220F9"/>
    <w:rsid w:val="086A6836"/>
    <w:rsid w:val="08931814"/>
    <w:rsid w:val="089C1242"/>
    <w:rsid w:val="08C12236"/>
    <w:rsid w:val="09575E4D"/>
    <w:rsid w:val="09597DF8"/>
    <w:rsid w:val="095E2030"/>
    <w:rsid w:val="095E5ED0"/>
    <w:rsid w:val="0A306206"/>
    <w:rsid w:val="0A873CDB"/>
    <w:rsid w:val="0AF52C59"/>
    <w:rsid w:val="0BD872B5"/>
    <w:rsid w:val="0C8854C6"/>
    <w:rsid w:val="0D7C5C11"/>
    <w:rsid w:val="0E4C7A2A"/>
    <w:rsid w:val="0EB9542F"/>
    <w:rsid w:val="0F9375C0"/>
    <w:rsid w:val="0FB57FB7"/>
    <w:rsid w:val="0FC61580"/>
    <w:rsid w:val="10693E2B"/>
    <w:rsid w:val="10FA207E"/>
    <w:rsid w:val="117941DF"/>
    <w:rsid w:val="11925377"/>
    <w:rsid w:val="11B25D00"/>
    <w:rsid w:val="125E5159"/>
    <w:rsid w:val="12B93A49"/>
    <w:rsid w:val="12DE570D"/>
    <w:rsid w:val="15147187"/>
    <w:rsid w:val="15AF552D"/>
    <w:rsid w:val="16EE22D3"/>
    <w:rsid w:val="17044DC6"/>
    <w:rsid w:val="17AB592F"/>
    <w:rsid w:val="18AC59BC"/>
    <w:rsid w:val="18BA4EDA"/>
    <w:rsid w:val="18F8040F"/>
    <w:rsid w:val="196813EC"/>
    <w:rsid w:val="19E265B6"/>
    <w:rsid w:val="1A0D50F6"/>
    <w:rsid w:val="1A7D1D5F"/>
    <w:rsid w:val="1ADE1B8E"/>
    <w:rsid w:val="1B4F0FCE"/>
    <w:rsid w:val="1B6303B8"/>
    <w:rsid w:val="1C536B8E"/>
    <w:rsid w:val="1DF025E3"/>
    <w:rsid w:val="1E43043D"/>
    <w:rsid w:val="1E565FCC"/>
    <w:rsid w:val="1E9A3038"/>
    <w:rsid w:val="1EFA2F4D"/>
    <w:rsid w:val="1F7F779E"/>
    <w:rsid w:val="1FBC3BA3"/>
    <w:rsid w:val="1FF77466"/>
    <w:rsid w:val="1FFB6B99"/>
    <w:rsid w:val="201C17A7"/>
    <w:rsid w:val="20D84D3F"/>
    <w:rsid w:val="20F900B5"/>
    <w:rsid w:val="21851C25"/>
    <w:rsid w:val="219A6842"/>
    <w:rsid w:val="21B469CE"/>
    <w:rsid w:val="21C35BF8"/>
    <w:rsid w:val="220B6CD3"/>
    <w:rsid w:val="22316BF5"/>
    <w:rsid w:val="22E85384"/>
    <w:rsid w:val="231B417D"/>
    <w:rsid w:val="23257350"/>
    <w:rsid w:val="235C4773"/>
    <w:rsid w:val="237D7E08"/>
    <w:rsid w:val="238F3091"/>
    <w:rsid w:val="23B7455B"/>
    <w:rsid w:val="23CF3E27"/>
    <w:rsid w:val="23F175DC"/>
    <w:rsid w:val="240D23BB"/>
    <w:rsid w:val="243759BC"/>
    <w:rsid w:val="24450436"/>
    <w:rsid w:val="24647D6F"/>
    <w:rsid w:val="24C26EA8"/>
    <w:rsid w:val="24F854B7"/>
    <w:rsid w:val="2636452D"/>
    <w:rsid w:val="264A6488"/>
    <w:rsid w:val="26671C15"/>
    <w:rsid w:val="26DE0B01"/>
    <w:rsid w:val="27F27B14"/>
    <w:rsid w:val="283F4B97"/>
    <w:rsid w:val="289F6A33"/>
    <w:rsid w:val="28CD0203"/>
    <w:rsid w:val="28EF1AF8"/>
    <w:rsid w:val="297C4F4D"/>
    <w:rsid w:val="29A60116"/>
    <w:rsid w:val="29A60CFF"/>
    <w:rsid w:val="29D673CB"/>
    <w:rsid w:val="29F942AE"/>
    <w:rsid w:val="2AEE4F8F"/>
    <w:rsid w:val="2B0B32C6"/>
    <w:rsid w:val="2B3530A8"/>
    <w:rsid w:val="2BC4372C"/>
    <w:rsid w:val="2BDF2A15"/>
    <w:rsid w:val="2BF955E2"/>
    <w:rsid w:val="2CD2337D"/>
    <w:rsid w:val="2CD8731B"/>
    <w:rsid w:val="2CF20F4C"/>
    <w:rsid w:val="2D150AAB"/>
    <w:rsid w:val="2D8D68B9"/>
    <w:rsid w:val="2DAD0633"/>
    <w:rsid w:val="2E106639"/>
    <w:rsid w:val="2F5B14CF"/>
    <w:rsid w:val="30104078"/>
    <w:rsid w:val="308908E1"/>
    <w:rsid w:val="30ED79D7"/>
    <w:rsid w:val="315E3BB3"/>
    <w:rsid w:val="3226759A"/>
    <w:rsid w:val="32855446"/>
    <w:rsid w:val="32936DCE"/>
    <w:rsid w:val="33087F73"/>
    <w:rsid w:val="33A65AD1"/>
    <w:rsid w:val="33E5365D"/>
    <w:rsid w:val="3425253E"/>
    <w:rsid w:val="34421A8B"/>
    <w:rsid w:val="34A3480D"/>
    <w:rsid w:val="34AF69AD"/>
    <w:rsid w:val="34CD7207"/>
    <w:rsid w:val="34F83E98"/>
    <w:rsid w:val="35814164"/>
    <w:rsid w:val="359918FE"/>
    <w:rsid w:val="35C70F63"/>
    <w:rsid w:val="363F420C"/>
    <w:rsid w:val="367C455C"/>
    <w:rsid w:val="370F06BE"/>
    <w:rsid w:val="372D64A5"/>
    <w:rsid w:val="37937FA8"/>
    <w:rsid w:val="3799514E"/>
    <w:rsid w:val="38346D20"/>
    <w:rsid w:val="387243E8"/>
    <w:rsid w:val="38C81342"/>
    <w:rsid w:val="39732C11"/>
    <w:rsid w:val="3A036DF5"/>
    <w:rsid w:val="3A106C9F"/>
    <w:rsid w:val="3A665346"/>
    <w:rsid w:val="3AA85E63"/>
    <w:rsid w:val="3AC61BD3"/>
    <w:rsid w:val="3AF52FB5"/>
    <w:rsid w:val="3B532860"/>
    <w:rsid w:val="3BA72875"/>
    <w:rsid w:val="3BC432C6"/>
    <w:rsid w:val="3C182C3D"/>
    <w:rsid w:val="3C4F659B"/>
    <w:rsid w:val="3CAF1541"/>
    <w:rsid w:val="3CCA7FB3"/>
    <w:rsid w:val="3CE96832"/>
    <w:rsid w:val="3D08591F"/>
    <w:rsid w:val="3D573B66"/>
    <w:rsid w:val="3E1E42D8"/>
    <w:rsid w:val="3E2E4312"/>
    <w:rsid w:val="3E313515"/>
    <w:rsid w:val="3E517D87"/>
    <w:rsid w:val="3EAA5273"/>
    <w:rsid w:val="3ED45067"/>
    <w:rsid w:val="3F5F2EA5"/>
    <w:rsid w:val="3FE46951"/>
    <w:rsid w:val="40374E7D"/>
    <w:rsid w:val="404810F7"/>
    <w:rsid w:val="404A1383"/>
    <w:rsid w:val="405657F6"/>
    <w:rsid w:val="41157098"/>
    <w:rsid w:val="413A4391"/>
    <w:rsid w:val="41DD2224"/>
    <w:rsid w:val="424149FD"/>
    <w:rsid w:val="42427637"/>
    <w:rsid w:val="42636EEC"/>
    <w:rsid w:val="42756523"/>
    <w:rsid w:val="428139A5"/>
    <w:rsid w:val="42D8278F"/>
    <w:rsid w:val="4354107E"/>
    <w:rsid w:val="43947096"/>
    <w:rsid w:val="43E45312"/>
    <w:rsid w:val="440A18FE"/>
    <w:rsid w:val="44103951"/>
    <w:rsid w:val="445C70D9"/>
    <w:rsid w:val="447A318E"/>
    <w:rsid w:val="44A4066B"/>
    <w:rsid w:val="44B3765D"/>
    <w:rsid w:val="44E72AC9"/>
    <w:rsid w:val="45001E13"/>
    <w:rsid w:val="451C3278"/>
    <w:rsid w:val="45230A40"/>
    <w:rsid w:val="45E47401"/>
    <w:rsid w:val="46084F4B"/>
    <w:rsid w:val="461E1690"/>
    <w:rsid w:val="47294762"/>
    <w:rsid w:val="47A125AA"/>
    <w:rsid w:val="47D83D09"/>
    <w:rsid w:val="48AF0E7A"/>
    <w:rsid w:val="48E30E06"/>
    <w:rsid w:val="492C0A63"/>
    <w:rsid w:val="49393A18"/>
    <w:rsid w:val="496752BC"/>
    <w:rsid w:val="497B5746"/>
    <w:rsid w:val="4A3134E4"/>
    <w:rsid w:val="4A37387A"/>
    <w:rsid w:val="4A710F6B"/>
    <w:rsid w:val="4B08688A"/>
    <w:rsid w:val="4B244C42"/>
    <w:rsid w:val="4B5102F0"/>
    <w:rsid w:val="4B574F09"/>
    <w:rsid w:val="4B777E9B"/>
    <w:rsid w:val="4B8A7E5D"/>
    <w:rsid w:val="4C6A7DB0"/>
    <w:rsid w:val="4C9444D5"/>
    <w:rsid w:val="4D212342"/>
    <w:rsid w:val="4D223FFC"/>
    <w:rsid w:val="4D753211"/>
    <w:rsid w:val="4DB15DD4"/>
    <w:rsid w:val="4FBF75CF"/>
    <w:rsid w:val="503D0636"/>
    <w:rsid w:val="5090031F"/>
    <w:rsid w:val="50B55E31"/>
    <w:rsid w:val="50C93006"/>
    <w:rsid w:val="51B5330D"/>
    <w:rsid w:val="51FC7E3A"/>
    <w:rsid w:val="524A71C0"/>
    <w:rsid w:val="52731F9C"/>
    <w:rsid w:val="528B024A"/>
    <w:rsid w:val="531A14D6"/>
    <w:rsid w:val="531D7B50"/>
    <w:rsid w:val="532742F5"/>
    <w:rsid w:val="53420F4C"/>
    <w:rsid w:val="53543891"/>
    <w:rsid w:val="53CC56D0"/>
    <w:rsid w:val="54907EE8"/>
    <w:rsid w:val="54A52417"/>
    <w:rsid w:val="55DA5BFA"/>
    <w:rsid w:val="55F85484"/>
    <w:rsid w:val="56531B8A"/>
    <w:rsid w:val="56892915"/>
    <w:rsid w:val="575A2C4B"/>
    <w:rsid w:val="57D91191"/>
    <w:rsid w:val="582533AF"/>
    <w:rsid w:val="58254B7B"/>
    <w:rsid w:val="584E6ED8"/>
    <w:rsid w:val="59950057"/>
    <w:rsid w:val="59B3791F"/>
    <w:rsid w:val="59C00507"/>
    <w:rsid w:val="5A186950"/>
    <w:rsid w:val="5A885237"/>
    <w:rsid w:val="5ABC15C8"/>
    <w:rsid w:val="5AE2726A"/>
    <w:rsid w:val="5B401730"/>
    <w:rsid w:val="5B735FB1"/>
    <w:rsid w:val="5BA305FB"/>
    <w:rsid w:val="5C0F0E0F"/>
    <w:rsid w:val="5C983E20"/>
    <w:rsid w:val="5D1E23AB"/>
    <w:rsid w:val="5DD77467"/>
    <w:rsid w:val="5E4550E3"/>
    <w:rsid w:val="5E82743B"/>
    <w:rsid w:val="603062DC"/>
    <w:rsid w:val="603730F4"/>
    <w:rsid w:val="608378AC"/>
    <w:rsid w:val="609B06FD"/>
    <w:rsid w:val="60E646A6"/>
    <w:rsid w:val="61130A4A"/>
    <w:rsid w:val="618A3A2B"/>
    <w:rsid w:val="61F26E45"/>
    <w:rsid w:val="62123ADD"/>
    <w:rsid w:val="627C68A7"/>
    <w:rsid w:val="62A21BA5"/>
    <w:rsid w:val="62BD6B88"/>
    <w:rsid w:val="62C87157"/>
    <w:rsid w:val="62D627C5"/>
    <w:rsid w:val="62E968C3"/>
    <w:rsid w:val="63713CA6"/>
    <w:rsid w:val="63741429"/>
    <w:rsid w:val="639C6A78"/>
    <w:rsid w:val="6410011A"/>
    <w:rsid w:val="644F39E7"/>
    <w:rsid w:val="648D15A7"/>
    <w:rsid w:val="64A9064E"/>
    <w:rsid w:val="64B035AD"/>
    <w:rsid w:val="660C27D7"/>
    <w:rsid w:val="6610065D"/>
    <w:rsid w:val="66423743"/>
    <w:rsid w:val="674C0418"/>
    <w:rsid w:val="675A709A"/>
    <w:rsid w:val="6768283D"/>
    <w:rsid w:val="67DC7FF9"/>
    <w:rsid w:val="67E16EB5"/>
    <w:rsid w:val="69372EFA"/>
    <w:rsid w:val="696D0D4F"/>
    <w:rsid w:val="699D5E13"/>
    <w:rsid w:val="69D71F8A"/>
    <w:rsid w:val="6A002A9F"/>
    <w:rsid w:val="6A404070"/>
    <w:rsid w:val="6AED636A"/>
    <w:rsid w:val="6BD00C98"/>
    <w:rsid w:val="6D143CF0"/>
    <w:rsid w:val="6D3B260A"/>
    <w:rsid w:val="6D5D4BAA"/>
    <w:rsid w:val="6DEA695A"/>
    <w:rsid w:val="6E9B3339"/>
    <w:rsid w:val="6EA81DA0"/>
    <w:rsid w:val="70184CD8"/>
    <w:rsid w:val="702F5354"/>
    <w:rsid w:val="703F0ABC"/>
    <w:rsid w:val="70453697"/>
    <w:rsid w:val="70A67847"/>
    <w:rsid w:val="711075B9"/>
    <w:rsid w:val="714A2387"/>
    <w:rsid w:val="717D643F"/>
    <w:rsid w:val="72317DFB"/>
    <w:rsid w:val="727B1715"/>
    <w:rsid w:val="72943E76"/>
    <w:rsid w:val="72D41CFD"/>
    <w:rsid w:val="7363682B"/>
    <w:rsid w:val="74860C2B"/>
    <w:rsid w:val="74A63A1D"/>
    <w:rsid w:val="74F35728"/>
    <w:rsid w:val="754C04DA"/>
    <w:rsid w:val="756C22E2"/>
    <w:rsid w:val="757A32AD"/>
    <w:rsid w:val="76121D64"/>
    <w:rsid w:val="76E21AD2"/>
    <w:rsid w:val="794B3FEA"/>
    <w:rsid w:val="7A10584B"/>
    <w:rsid w:val="7A3443A5"/>
    <w:rsid w:val="7A461060"/>
    <w:rsid w:val="7B064268"/>
    <w:rsid w:val="7B47713A"/>
    <w:rsid w:val="7B54328A"/>
    <w:rsid w:val="7BD06D5D"/>
    <w:rsid w:val="7C6005E5"/>
    <w:rsid w:val="7C831CEC"/>
    <w:rsid w:val="7C8D7867"/>
    <w:rsid w:val="7CCC795D"/>
    <w:rsid w:val="7D405F8D"/>
    <w:rsid w:val="7D7A0F85"/>
    <w:rsid w:val="7D8644BC"/>
    <w:rsid w:val="7F387EA0"/>
    <w:rsid w:val="7F922C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uiPriority="39" w:name="toc 4"/>
    <w:lsdException w:uiPriority="39" w:name="toc 5"/>
    <w:lsdException w:qFormat="1" w:unhideWhenUsed="0" w:uiPriority="39"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qFormat="1"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qFormat="1" w:uiPriority="99"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4"/>
    <w:qFormat/>
    <w:uiPriority w:val="9"/>
    <w:pPr>
      <w:keepNext/>
      <w:keepLines/>
      <w:spacing w:before="340" w:after="330" w:line="578" w:lineRule="auto"/>
      <w:outlineLvl w:val="0"/>
    </w:pPr>
    <w:rPr>
      <w:b/>
      <w:bCs/>
      <w:kern w:val="44"/>
      <w:sz w:val="44"/>
      <w:szCs w:val="44"/>
    </w:rPr>
  </w:style>
  <w:style w:type="paragraph" w:styleId="3">
    <w:name w:val="heading 5"/>
    <w:basedOn w:val="1"/>
    <w:next w:val="1"/>
    <w:link w:val="61"/>
    <w:semiHidden/>
    <w:unhideWhenUsed/>
    <w:qFormat/>
    <w:uiPriority w:val="9"/>
    <w:pPr>
      <w:keepNext/>
      <w:keepLines/>
      <w:spacing w:before="280" w:after="290" w:line="376" w:lineRule="auto"/>
      <w:outlineLvl w:val="4"/>
    </w:pPr>
    <w:rPr>
      <w:b/>
      <w:bCs/>
      <w:sz w:val="28"/>
      <w:szCs w:val="28"/>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4">
    <w:name w:val="List Number"/>
    <w:basedOn w:val="1"/>
    <w:qFormat/>
    <w:uiPriority w:val="0"/>
    <w:pPr>
      <w:numPr>
        <w:ilvl w:val="0"/>
        <w:numId w:val="1"/>
      </w:numPr>
      <w:ind w:firstLine="0" w:firstLineChars="0"/>
    </w:pPr>
  </w:style>
  <w:style w:type="paragraph" w:styleId="5">
    <w:name w:val="Normal Indent"/>
    <w:basedOn w:val="1"/>
    <w:link w:val="42"/>
    <w:qFormat/>
    <w:uiPriority w:val="0"/>
    <w:pPr>
      <w:adjustRightInd w:val="0"/>
      <w:spacing w:line="312" w:lineRule="atLeast"/>
      <w:ind w:firstLine="420"/>
      <w:textAlignment w:val="baseline"/>
    </w:pPr>
    <w:rPr>
      <w:kern w:val="0"/>
      <w:szCs w:val="20"/>
    </w:rPr>
  </w:style>
  <w:style w:type="paragraph" w:styleId="6">
    <w:name w:val="caption"/>
    <w:basedOn w:val="1"/>
    <w:next w:val="1"/>
    <w:qFormat/>
    <w:uiPriority w:val="0"/>
    <w:rPr>
      <w:rFonts w:ascii="Calibri Light" w:hAnsi="Calibri Light" w:eastAsia="黑体"/>
      <w:sz w:val="20"/>
      <w:szCs w:val="20"/>
    </w:rPr>
  </w:style>
  <w:style w:type="paragraph" w:styleId="7">
    <w:name w:val="annotation text"/>
    <w:basedOn w:val="1"/>
    <w:link w:val="45"/>
    <w:unhideWhenUsed/>
    <w:qFormat/>
    <w:uiPriority w:val="99"/>
    <w:pPr>
      <w:tabs>
        <w:tab w:val="left" w:pos="540"/>
      </w:tabs>
      <w:jc w:val="left"/>
    </w:pPr>
    <w:rPr>
      <w:rFonts w:ascii="宋体" w:hAnsi="宋体"/>
      <w:bCs/>
      <w:szCs w:val="21"/>
    </w:rPr>
  </w:style>
  <w:style w:type="paragraph" w:styleId="8">
    <w:name w:val="Body Text"/>
    <w:basedOn w:val="1"/>
    <w:next w:val="9"/>
    <w:link w:val="39"/>
    <w:unhideWhenUsed/>
    <w:qFormat/>
    <w:uiPriority w:val="99"/>
    <w:pPr>
      <w:spacing w:after="120"/>
    </w:pPr>
  </w:style>
  <w:style w:type="paragraph" w:styleId="9">
    <w:name w:val="Body Text First Indent"/>
    <w:basedOn w:val="8"/>
    <w:next w:val="10"/>
    <w:link w:val="40"/>
    <w:qFormat/>
    <w:uiPriority w:val="0"/>
    <w:pPr>
      <w:ind w:firstLine="420" w:firstLineChars="100"/>
    </w:pPr>
  </w:style>
  <w:style w:type="paragraph" w:styleId="10">
    <w:name w:val="toc 6"/>
    <w:basedOn w:val="1"/>
    <w:next w:val="1"/>
    <w:qFormat/>
    <w:uiPriority w:val="39"/>
    <w:pPr>
      <w:ind w:left="2100" w:leftChars="1000"/>
    </w:pPr>
  </w:style>
  <w:style w:type="paragraph" w:styleId="11">
    <w:name w:val="Body Text Indent"/>
    <w:basedOn w:val="1"/>
    <w:link w:val="43"/>
    <w:semiHidden/>
    <w:unhideWhenUsed/>
    <w:qFormat/>
    <w:uiPriority w:val="99"/>
    <w:pPr>
      <w:spacing w:after="120"/>
      <w:ind w:left="420" w:leftChars="200"/>
    </w:pPr>
  </w:style>
  <w:style w:type="paragraph" w:styleId="12">
    <w:name w:val="List 2"/>
    <w:basedOn w:val="1"/>
    <w:semiHidden/>
    <w:unhideWhenUsed/>
    <w:qFormat/>
    <w:uiPriority w:val="99"/>
    <w:pPr>
      <w:ind w:left="100" w:leftChars="200" w:hanging="200" w:hangingChars="200"/>
      <w:contextualSpacing/>
    </w:pPr>
  </w:style>
  <w:style w:type="paragraph" w:styleId="13">
    <w:name w:val="Block Text"/>
    <w:basedOn w:val="1"/>
    <w:next w:val="1"/>
    <w:qFormat/>
    <w:uiPriority w:val="0"/>
    <w:pPr>
      <w:adjustRightInd w:val="0"/>
      <w:spacing w:line="300" w:lineRule="auto"/>
      <w:ind w:left="958" w:right="-120" w:rightChars="-120"/>
      <w:jc w:val="left"/>
    </w:pPr>
    <w:rPr>
      <w:rFonts w:ascii="宋体" w:hAnsi="宋体"/>
      <w:sz w:val="28"/>
    </w:rPr>
  </w:style>
  <w:style w:type="paragraph" w:styleId="14">
    <w:name w:val="toc 3"/>
    <w:basedOn w:val="1"/>
    <w:next w:val="1"/>
    <w:unhideWhenUsed/>
    <w:qFormat/>
    <w:uiPriority w:val="39"/>
    <w:pPr>
      <w:ind w:left="840" w:leftChars="400"/>
    </w:pPr>
  </w:style>
  <w:style w:type="paragraph" w:styleId="15">
    <w:name w:val="Plain Text"/>
    <w:basedOn w:val="1"/>
    <w:link w:val="37"/>
    <w:qFormat/>
    <w:uiPriority w:val="99"/>
    <w:pPr>
      <w:spacing w:beforeLines="50" w:afterLines="50" w:line="400" w:lineRule="exact"/>
    </w:pPr>
    <w:rPr>
      <w:rFonts w:ascii="宋体" w:hAnsi="Courier New"/>
      <w:kern w:val="0"/>
      <w:sz w:val="24"/>
    </w:rPr>
  </w:style>
  <w:style w:type="paragraph" w:styleId="16">
    <w:name w:val="Date"/>
    <w:basedOn w:val="1"/>
    <w:next w:val="1"/>
    <w:link w:val="75"/>
    <w:semiHidden/>
    <w:unhideWhenUsed/>
    <w:qFormat/>
    <w:uiPriority w:val="99"/>
    <w:pPr>
      <w:ind w:left="100" w:leftChars="2500"/>
    </w:pPr>
  </w:style>
  <w:style w:type="paragraph" w:styleId="17">
    <w:name w:val="Balloon Text"/>
    <w:basedOn w:val="1"/>
    <w:link w:val="46"/>
    <w:unhideWhenUsed/>
    <w:qFormat/>
    <w:uiPriority w:val="99"/>
    <w:rPr>
      <w:sz w:val="18"/>
      <w:szCs w:val="18"/>
    </w:rPr>
  </w:style>
  <w:style w:type="paragraph" w:styleId="18">
    <w:name w:val="footer"/>
    <w:basedOn w:val="1"/>
    <w:link w:val="36"/>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9">
    <w:name w:val="header"/>
    <w:basedOn w:val="1"/>
    <w:link w:val="35"/>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20">
    <w:name w:val="toc 1"/>
    <w:basedOn w:val="1"/>
    <w:next w:val="1"/>
    <w:qFormat/>
    <w:uiPriority w:val="39"/>
  </w:style>
  <w:style w:type="paragraph" w:styleId="21">
    <w:name w:val="Subtitle"/>
    <w:basedOn w:val="1"/>
    <w:next w:val="1"/>
    <w:link w:val="60"/>
    <w:qFormat/>
    <w:uiPriority w:val="11"/>
    <w:pPr>
      <w:spacing w:before="240" w:after="60" w:line="312" w:lineRule="auto"/>
      <w:jc w:val="center"/>
      <w:outlineLvl w:val="1"/>
    </w:pPr>
    <w:rPr>
      <w:rFonts w:asciiTheme="majorHAnsi" w:hAnsiTheme="majorHAnsi" w:cstheme="majorBidi"/>
      <w:b/>
      <w:bCs/>
      <w:kern w:val="28"/>
      <w:sz w:val="32"/>
      <w:szCs w:val="32"/>
    </w:rPr>
  </w:style>
  <w:style w:type="paragraph" w:styleId="22">
    <w:name w:val="Body Text Indent 3"/>
    <w:basedOn w:val="1"/>
    <w:link w:val="44"/>
    <w:semiHidden/>
    <w:unhideWhenUsed/>
    <w:qFormat/>
    <w:uiPriority w:val="99"/>
    <w:pPr>
      <w:spacing w:after="120"/>
      <w:ind w:left="420" w:leftChars="200"/>
    </w:pPr>
    <w:rPr>
      <w:sz w:val="16"/>
      <w:szCs w:val="16"/>
    </w:rPr>
  </w:style>
  <w:style w:type="paragraph" w:styleId="23">
    <w:name w:val="toc 2"/>
    <w:basedOn w:val="1"/>
    <w:next w:val="1"/>
    <w:qFormat/>
    <w:uiPriority w:val="39"/>
    <w:pPr>
      <w:ind w:left="420" w:leftChars="200"/>
    </w:pPr>
  </w:style>
  <w:style w:type="paragraph" w:styleId="24">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5">
    <w:name w:val="Title"/>
    <w:basedOn w:val="1"/>
    <w:next w:val="1"/>
    <w:link w:val="78"/>
    <w:qFormat/>
    <w:uiPriority w:val="0"/>
    <w:pPr>
      <w:widowControl/>
      <w:spacing w:before="240" w:after="60" w:line="360" w:lineRule="auto"/>
      <w:jc w:val="center"/>
      <w:outlineLvl w:val="0"/>
    </w:pPr>
    <w:rPr>
      <w:rFonts w:asciiTheme="majorHAnsi" w:hAnsiTheme="majorHAnsi" w:eastAsiaTheme="majorEastAsia" w:cstheme="majorBidi"/>
      <w:b/>
      <w:bCs/>
      <w:kern w:val="0"/>
      <w:sz w:val="32"/>
      <w:szCs w:val="32"/>
    </w:rPr>
  </w:style>
  <w:style w:type="paragraph" w:styleId="26">
    <w:name w:val="annotation subject"/>
    <w:basedOn w:val="7"/>
    <w:next w:val="7"/>
    <w:link w:val="59"/>
    <w:unhideWhenUsed/>
    <w:qFormat/>
    <w:uiPriority w:val="99"/>
    <w:rPr>
      <w:b/>
      <w:bCs w:val="0"/>
    </w:rPr>
  </w:style>
  <w:style w:type="paragraph" w:styleId="27">
    <w:name w:val="Body Text First Indent 2"/>
    <w:basedOn w:val="11"/>
    <w:link w:val="55"/>
    <w:semiHidden/>
    <w:unhideWhenUsed/>
    <w:qFormat/>
    <w:uiPriority w:val="99"/>
    <w:pPr>
      <w:ind w:firstLine="420" w:firstLineChars="200"/>
    </w:pPr>
  </w:style>
  <w:style w:type="table" w:styleId="29">
    <w:name w:val="Table Grid"/>
    <w:basedOn w:val="2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page number"/>
    <w:qFormat/>
    <w:uiPriority w:val="99"/>
    <w:rPr>
      <w:rFonts w:cs="Times New Roman"/>
    </w:rPr>
  </w:style>
  <w:style w:type="character" w:styleId="32">
    <w:name w:val="Hyperlink"/>
    <w:qFormat/>
    <w:uiPriority w:val="99"/>
    <w:rPr>
      <w:color w:val="000000"/>
      <w:sz w:val="20"/>
      <w:szCs w:val="20"/>
      <w:u w:val="none"/>
    </w:rPr>
  </w:style>
  <w:style w:type="character" w:styleId="33">
    <w:name w:val="annotation reference"/>
    <w:basedOn w:val="30"/>
    <w:unhideWhenUsed/>
    <w:qFormat/>
    <w:uiPriority w:val="99"/>
    <w:rPr>
      <w:sz w:val="21"/>
      <w:szCs w:val="21"/>
    </w:rPr>
  </w:style>
  <w:style w:type="character" w:customStyle="1" w:styleId="34">
    <w:name w:val="标题 1 字符"/>
    <w:basedOn w:val="30"/>
    <w:link w:val="2"/>
    <w:qFormat/>
    <w:uiPriority w:val="9"/>
    <w:rPr>
      <w:rFonts w:ascii="Times New Roman" w:hAnsi="Times New Roman" w:eastAsia="宋体" w:cs="Times New Roman"/>
      <w:b/>
      <w:bCs/>
      <w:kern w:val="44"/>
      <w:sz w:val="44"/>
      <w:szCs w:val="44"/>
    </w:rPr>
  </w:style>
  <w:style w:type="character" w:customStyle="1" w:styleId="35">
    <w:name w:val="页眉 字符"/>
    <w:basedOn w:val="30"/>
    <w:link w:val="19"/>
    <w:qFormat/>
    <w:uiPriority w:val="99"/>
    <w:rPr>
      <w:sz w:val="18"/>
      <w:szCs w:val="18"/>
    </w:rPr>
  </w:style>
  <w:style w:type="character" w:customStyle="1" w:styleId="36">
    <w:name w:val="页脚 字符"/>
    <w:basedOn w:val="30"/>
    <w:link w:val="18"/>
    <w:qFormat/>
    <w:uiPriority w:val="99"/>
    <w:rPr>
      <w:sz w:val="18"/>
      <w:szCs w:val="18"/>
    </w:rPr>
  </w:style>
  <w:style w:type="character" w:customStyle="1" w:styleId="37">
    <w:name w:val="纯文本 字符1"/>
    <w:basedOn w:val="30"/>
    <w:link w:val="15"/>
    <w:qFormat/>
    <w:uiPriority w:val="0"/>
    <w:rPr>
      <w:rFonts w:ascii="宋体" w:hAnsi="Courier New" w:eastAsia="宋体" w:cs="Times New Roman"/>
      <w:kern w:val="0"/>
      <w:sz w:val="24"/>
      <w:szCs w:val="24"/>
    </w:rPr>
  </w:style>
  <w:style w:type="paragraph" w:customStyle="1" w:styleId="38">
    <w:name w:val="正文段"/>
    <w:basedOn w:val="1"/>
    <w:qFormat/>
    <w:uiPriority w:val="0"/>
    <w:pPr>
      <w:widowControl/>
      <w:snapToGrid w:val="0"/>
      <w:spacing w:afterLines="50"/>
      <w:ind w:firstLine="200" w:firstLineChars="200"/>
    </w:pPr>
    <w:rPr>
      <w:kern w:val="0"/>
      <w:sz w:val="24"/>
      <w:szCs w:val="20"/>
    </w:rPr>
  </w:style>
  <w:style w:type="character" w:customStyle="1" w:styleId="39">
    <w:name w:val="正文文本 字符"/>
    <w:basedOn w:val="30"/>
    <w:link w:val="8"/>
    <w:qFormat/>
    <w:uiPriority w:val="99"/>
    <w:rPr>
      <w:rFonts w:ascii="Times New Roman" w:hAnsi="Times New Roman" w:eastAsia="宋体" w:cs="Times New Roman"/>
      <w:szCs w:val="24"/>
    </w:rPr>
  </w:style>
  <w:style w:type="character" w:customStyle="1" w:styleId="40">
    <w:name w:val="正文首行缩进 字符"/>
    <w:basedOn w:val="39"/>
    <w:link w:val="9"/>
    <w:qFormat/>
    <w:uiPriority w:val="0"/>
    <w:rPr>
      <w:rFonts w:ascii="Times New Roman" w:hAnsi="Times New Roman" w:eastAsia="宋体" w:cs="Times New Roman"/>
      <w:szCs w:val="24"/>
    </w:rPr>
  </w:style>
  <w:style w:type="paragraph" w:styleId="41">
    <w:name w:val="List Paragraph"/>
    <w:basedOn w:val="1"/>
    <w:qFormat/>
    <w:uiPriority w:val="34"/>
    <w:pPr>
      <w:ind w:firstLine="420" w:firstLineChars="200"/>
    </w:pPr>
  </w:style>
  <w:style w:type="character" w:customStyle="1" w:styleId="42">
    <w:name w:val="正文缩进 字符"/>
    <w:link w:val="5"/>
    <w:qFormat/>
    <w:uiPriority w:val="0"/>
    <w:rPr>
      <w:rFonts w:ascii="Times New Roman" w:hAnsi="Times New Roman" w:eastAsia="宋体" w:cs="Times New Roman"/>
      <w:kern w:val="0"/>
      <w:szCs w:val="20"/>
    </w:rPr>
  </w:style>
  <w:style w:type="character" w:customStyle="1" w:styleId="43">
    <w:name w:val="正文文本缩进 字符"/>
    <w:basedOn w:val="30"/>
    <w:link w:val="11"/>
    <w:semiHidden/>
    <w:qFormat/>
    <w:uiPriority w:val="99"/>
    <w:rPr>
      <w:rFonts w:ascii="Times New Roman" w:hAnsi="Times New Roman" w:eastAsia="宋体" w:cs="Times New Roman"/>
      <w:szCs w:val="24"/>
    </w:rPr>
  </w:style>
  <w:style w:type="character" w:customStyle="1" w:styleId="44">
    <w:name w:val="正文文本缩进 3 字符"/>
    <w:basedOn w:val="30"/>
    <w:link w:val="22"/>
    <w:semiHidden/>
    <w:qFormat/>
    <w:uiPriority w:val="99"/>
    <w:rPr>
      <w:rFonts w:ascii="Times New Roman" w:hAnsi="Times New Roman" w:eastAsia="宋体" w:cs="Times New Roman"/>
      <w:sz w:val="16"/>
      <w:szCs w:val="16"/>
    </w:rPr>
  </w:style>
  <w:style w:type="character" w:customStyle="1" w:styleId="45">
    <w:name w:val="批注文字 字符"/>
    <w:basedOn w:val="30"/>
    <w:link w:val="7"/>
    <w:qFormat/>
    <w:uiPriority w:val="99"/>
    <w:rPr>
      <w:rFonts w:ascii="宋体" w:hAnsi="宋体"/>
      <w:bCs/>
      <w:kern w:val="2"/>
      <w:sz w:val="21"/>
      <w:szCs w:val="21"/>
    </w:rPr>
  </w:style>
  <w:style w:type="character" w:customStyle="1" w:styleId="46">
    <w:name w:val="批注框文本 字符"/>
    <w:basedOn w:val="30"/>
    <w:link w:val="17"/>
    <w:qFormat/>
    <w:uiPriority w:val="99"/>
    <w:rPr>
      <w:rFonts w:ascii="Times New Roman" w:hAnsi="Times New Roman" w:eastAsia="宋体" w:cs="Times New Roman"/>
      <w:sz w:val="18"/>
      <w:szCs w:val="18"/>
    </w:rPr>
  </w:style>
  <w:style w:type="paragraph" w:customStyle="1" w:styleId="47">
    <w:name w:val="Table Paragraph"/>
    <w:basedOn w:val="1"/>
    <w:qFormat/>
    <w:uiPriority w:val="1"/>
    <w:pPr>
      <w:autoSpaceDE w:val="0"/>
      <w:autoSpaceDN w:val="0"/>
      <w:adjustRightInd w:val="0"/>
      <w:jc w:val="left"/>
    </w:pPr>
    <w:rPr>
      <w:rFonts w:ascii="黑体" w:hAnsi="黑体" w:cs="黑体"/>
      <w:kern w:val="0"/>
      <w:sz w:val="24"/>
    </w:rPr>
  </w:style>
  <w:style w:type="paragraph" w:customStyle="1" w:styleId="48">
    <w:name w:val="默认段落字体 Para Char Char Char Char Char Char Char Char Char1 Char Char Char Char"/>
    <w:basedOn w:val="1"/>
    <w:qFormat/>
    <w:uiPriority w:val="0"/>
    <w:rPr>
      <w:rFonts w:ascii="Tahoma" w:hAnsi="Tahoma"/>
      <w:sz w:val="24"/>
      <w:szCs w:val="20"/>
    </w:rPr>
  </w:style>
  <w:style w:type="paragraph" w:customStyle="1" w:styleId="49">
    <w:name w:val="纯文本1"/>
    <w:basedOn w:val="1"/>
    <w:link w:val="51"/>
    <w:qFormat/>
    <w:uiPriority w:val="0"/>
    <w:pPr>
      <w:spacing w:beforeLines="50" w:afterLines="50" w:line="400" w:lineRule="exact"/>
    </w:pPr>
    <w:rPr>
      <w:rFonts w:ascii="宋体" w:hAnsi="Courier New"/>
      <w:kern w:val="0"/>
      <w:sz w:val="24"/>
    </w:rPr>
  </w:style>
  <w:style w:type="paragraph" w:customStyle="1" w:styleId="50">
    <w:name w:val="列出段落1"/>
    <w:basedOn w:val="1"/>
    <w:qFormat/>
    <w:uiPriority w:val="0"/>
    <w:pPr>
      <w:ind w:firstLine="420" w:firstLineChars="200"/>
    </w:pPr>
    <w:rPr>
      <w:rFonts w:ascii="Calibri" w:hAnsi="Calibri"/>
      <w:szCs w:val="22"/>
    </w:rPr>
  </w:style>
  <w:style w:type="character" w:customStyle="1" w:styleId="51">
    <w:name w:val="纯文本 字符"/>
    <w:basedOn w:val="30"/>
    <w:link w:val="49"/>
    <w:qFormat/>
    <w:uiPriority w:val="99"/>
    <w:rPr>
      <w:rFonts w:ascii="宋体" w:hAnsi="Courier New" w:eastAsia="宋体" w:cs="Times New Roman"/>
      <w:kern w:val="0"/>
      <w:sz w:val="24"/>
      <w:szCs w:val="24"/>
    </w:rPr>
  </w:style>
  <w:style w:type="paragraph" w:customStyle="1" w:styleId="52">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53">
    <w:name w:val="纯文本 Char1"/>
    <w:qFormat/>
    <w:uiPriority w:val="0"/>
    <w:rPr>
      <w:rFonts w:ascii="宋体" w:hAnsi="Courier New"/>
      <w:sz w:val="24"/>
      <w:szCs w:val="24"/>
      <w:lang w:val="en-US" w:eastAsia="zh-CN" w:bidi="ar-SA"/>
    </w:rPr>
  </w:style>
  <w:style w:type="paragraph" w:customStyle="1" w:styleId="54">
    <w:name w:val="_Style 1"/>
    <w:basedOn w:val="1"/>
    <w:qFormat/>
    <w:uiPriority w:val="0"/>
    <w:pPr>
      <w:ind w:firstLine="420" w:firstLineChars="200"/>
    </w:pPr>
    <w:rPr>
      <w:rFonts w:ascii="Calibri" w:hAnsi="Calibri"/>
      <w:szCs w:val="20"/>
    </w:rPr>
  </w:style>
  <w:style w:type="character" w:customStyle="1" w:styleId="55">
    <w:name w:val="正文首行缩进 2 字符"/>
    <w:basedOn w:val="43"/>
    <w:link w:val="27"/>
    <w:semiHidden/>
    <w:qFormat/>
    <w:uiPriority w:val="99"/>
    <w:rPr>
      <w:rFonts w:ascii="Times New Roman" w:hAnsi="Times New Roman" w:eastAsia="宋体" w:cs="Times New Roman"/>
      <w:szCs w:val="24"/>
    </w:rPr>
  </w:style>
  <w:style w:type="paragraph" w:customStyle="1" w:styleId="56">
    <w:name w:val="正文文本缩进 21"/>
    <w:basedOn w:val="1"/>
    <w:link w:val="57"/>
    <w:qFormat/>
    <w:uiPriority w:val="0"/>
    <w:pPr>
      <w:snapToGrid w:val="0"/>
      <w:ind w:firstLine="542" w:firstLineChars="225"/>
    </w:pPr>
    <w:rPr>
      <w:rFonts w:ascii="仿宋_GB2312" w:hAnsi="宋体" w:cs="Arial"/>
      <w:b/>
      <w:bCs/>
      <w:sz w:val="24"/>
    </w:rPr>
  </w:style>
  <w:style w:type="character" w:customStyle="1" w:styleId="57">
    <w:name w:val="正文文本缩进 2 字符"/>
    <w:basedOn w:val="30"/>
    <w:link w:val="56"/>
    <w:qFormat/>
    <w:uiPriority w:val="0"/>
    <w:rPr>
      <w:rFonts w:ascii="仿宋_GB2312" w:hAnsi="宋体" w:eastAsia="宋体" w:cs="Arial"/>
      <w:b/>
      <w:bCs/>
      <w:sz w:val="24"/>
      <w:szCs w:val="24"/>
    </w:rPr>
  </w:style>
  <w:style w:type="character" w:customStyle="1" w:styleId="58">
    <w:name w:val="font91"/>
    <w:qFormat/>
    <w:uiPriority w:val="0"/>
    <w:rPr>
      <w:rFonts w:ascii="宋体" w:hAnsi="宋体" w:eastAsia="宋体" w:cs="宋体"/>
      <w:color w:val="FF0000"/>
      <w:sz w:val="22"/>
      <w:szCs w:val="22"/>
      <w:u w:val="none"/>
    </w:rPr>
  </w:style>
  <w:style w:type="character" w:customStyle="1" w:styleId="59">
    <w:name w:val="批注主题 字符"/>
    <w:basedOn w:val="45"/>
    <w:link w:val="26"/>
    <w:qFormat/>
    <w:uiPriority w:val="99"/>
    <w:rPr>
      <w:rFonts w:ascii="Times New Roman" w:hAnsi="Times New Roman" w:eastAsia="宋体" w:cs="Times New Roman"/>
      <w:b/>
      <w:bCs w:val="0"/>
      <w:kern w:val="2"/>
      <w:sz w:val="21"/>
      <w:szCs w:val="24"/>
    </w:rPr>
  </w:style>
  <w:style w:type="character" w:customStyle="1" w:styleId="60">
    <w:name w:val="副标题 字符"/>
    <w:basedOn w:val="30"/>
    <w:link w:val="21"/>
    <w:qFormat/>
    <w:uiPriority w:val="11"/>
    <w:rPr>
      <w:rFonts w:eastAsia="宋体" w:asciiTheme="majorHAnsi" w:hAnsiTheme="majorHAnsi" w:cstheme="majorBidi"/>
      <w:b/>
      <w:bCs/>
      <w:kern w:val="28"/>
      <w:sz w:val="32"/>
      <w:szCs w:val="32"/>
    </w:rPr>
  </w:style>
  <w:style w:type="character" w:customStyle="1" w:styleId="61">
    <w:name w:val="标题 5 字符"/>
    <w:basedOn w:val="30"/>
    <w:link w:val="3"/>
    <w:semiHidden/>
    <w:qFormat/>
    <w:uiPriority w:val="9"/>
    <w:rPr>
      <w:rFonts w:ascii="Times New Roman" w:hAnsi="Times New Roman" w:eastAsia="宋体" w:cs="Times New Roman"/>
      <w:b/>
      <w:bCs/>
      <w:sz w:val="28"/>
      <w:szCs w:val="28"/>
    </w:rPr>
  </w:style>
  <w:style w:type="character" w:customStyle="1" w:styleId="62">
    <w:name w:val="纯文本 Char3"/>
    <w:qFormat/>
    <w:uiPriority w:val="0"/>
    <w:rPr>
      <w:rFonts w:ascii="宋体" w:hAnsi="Courier New" w:eastAsia="宋体"/>
      <w:kern w:val="2"/>
      <w:sz w:val="21"/>
      <w:lang w:val="en-US" w:eastAsia="zh-CN" w:bidi="ar-SA"/>
    </w:rPr>
  </w:style>
  <w:style w:type="paragraph" w:customStyle="1" w:styleId="63">
    <w:name w:val="保留正文"/>
    <w:basedOn w:val="8"/>
    <w:qFormat/>
    <w:uiPriority w:val="0"/>
    <w:pPr>
      <w:keepNext/>
      <w:spacing w:after="160"/>
    </w:pPr>
    <w:rPr>
      <w:rFonts w:ascii="仿宋_GB2312" w:hAnsi="Tahoma"/>
      <w:b/>
    </w:rPr>
  </w:style>
  <w:style w:type="paragraph" w:customStyle="1" w:styleId="64">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65">
    <w:name w:val="xl25"/>
    <w:basedOn w:val="1"/>
    <w:qFormat/>
    <w:uiPriority w:val="0"/>
    <w:pPr>
      <w:widowControl/>
      <w:spacing w:before="100" w:beforeAutospacing="1" w:after="100" w:afterAutospacing="1"/>
      <w:jc w:val="center"/>
    </w:pPr>
    <w:rPr>
      <w:rFonts w:ascii="宋体" w:hAnsi="宋体"/>
      <w:kern w:val="0"/>
      <w:sz w:val="24"/>
    </w:rPr>
  </w:style>
  <w:style w:type="character" w:customStyle="1" w:styleId="66">
    <w:name w:val="font01"/>
    <w:basedOn w:val="30"/>
    <w:qFormat/>
    <w:uiPriority w:val="0"/>
    <w:rPr>
      <w:rFonts w:hint="default" w:ascii="Arial" w:hAnsi="Arial" w:cs="Arial"/>
      <w:color w:val="000000"/>
      <w:sz w:val="20"/>
      <w:szCs w:val="20"/>
      <w:u w:val="none"/>
    </w:rPr>
  </w:style>
  <w:style w:type="character" w:customStyle="1" w:styleId="67">
    <w:name w:val="font31"/>
    <w:basedOn w:val="30"/>
    <w:qFormat/>
    <w:uiPriority w:val="0"/>
    <w:rPr>
      <w:rFonts w:hint="eastAsia" w:ascii="宋体" w:hAnsi="宋体" w:eastAsia="宋体" w:cs="宋体"/>
      <w:color w:val="000000"/>
      <w:sz w:val="22"/>
      <w:szCs w:val="22"/>
      <w:u w:val="none"/>
    </w:rPr>
  </w:style>
  <w:style w:type="character" w:customStyle="1" w:styleId="68">
    <w:name w:val="font21"/>
    <w:basedOn w:val="30"/>
    <w:qFormat/>
    <w:uiPriority w:val="0"/>
    <w:rPr>
      <w:rFonts w:hint="eastAsia" w:ascii="宋体" w:hAnsi="宋体" w:eastAsia="宋体" w:cs="宋体"/>
      <w:color w:val="000000"/>
      <w:sz w:val="19"/>
      <w:szCs w:val="19"/>
      <w:u w:val="none"/>
    </w:rPr>
  </w:style>
  <w:style w:type="character" w:customStyle="1" w:styleId="69">
    <w:name w:val="font11"/>
    <w:basedOn w:val="30"/>
    <w:qFormat/>
    <w:uiPriority w:val="0"/>
    <w:rPr>
      <w:rFonts w:hint="eastAsia" w:ascii="宋体" w:hAnsi="宋体" w:eastAsia="宋体" w:cs="宋体"/>
      <w:color w:val="000000"/>
      <w:sz w:val="19"/>
      <w:szCs w:val="19"/>
      <w:u w:val="none"/>
    </w:rPr>
  </w:style>
  <w:style w:type="paragraph" w:customStyle="1" w:styleId="70">
    <w:name w:val="biaoge"/>
    <w:basedOn w:val="1"/>
    <w:unhideWhenUsed/>
    <w:qFormat/>
    <w:uiPriority w:val="0"/>
    <w:rPr>
      <w:rFonts w:ascii="Calibri" w:hAnsi="Calibri"/>
    </w:rPr>
  </w:style>
  <w:style w:type="paragraph" w:customStyle="1" w:styleId="71">
    <w:name w:val="正文_1"/>
    <w:basedOn w:val="1"/>
    <w:qFormat/>
    <w:uiPriority w:val="0"/>
    <w:rPr>
      <w:rFonts w:ascii="Calibri" w:hAnsi="Calibri" w:cs="Calibri"/>
      <w:szCs w:val="21"/>
    </w:rPr>
  </w:style>
  <w:style w:type="paragraph" w:customStyle="1" w:styleId="72">
    <w:name w:val="正文_0"/>
    <w:basedOn w:val="71"/>
    <w:qFormat/>
    <w:uiPriority w:val="0"/>
  </w:style>
  <w:style w:type="character" w:customStyle="1" w:styleId="73">
    <w:name w:val="font51"/>
    <w:basedOn w:val="30"/>
    <w:qFormat/>
    <w:uiPriority w:val="0"/>
    <w:rPr>
      <w:rFonts w:hint="eastAsia" w:ascii="宋体" w:hAnsi="宋体" w:eastAsia="宋体" w:cs="宋体"/>
      <w:color w:val="000000"/>
      <w:sz w:val="20"/>
      <w:szCs w:val="20"/>
      <w:u w:val="none"/>
    </w:rPr>
  </w:style>
  <w:style w:type="character" w:customStyle="1" w:styleId="74">
    <w:name w:val="font41"/>
    <w:basedOn w:val="30"/>
    <w:qFormat/>
    <w:uiPriority w:val="0"/>
    <w:rPr>
      <w:rFonts w:hint="eastAsia" w:ascii="宋体" w:hAnsi="宋体" w:eastAsia="宋体" w:cs="宋体"/>
      <w:color w:val="000000"/>
      <w:sz w:val="20"/>
      <w:szCs w:val="20"/>
      <w:u w:val="none"/>
    </w:rPr>
  </w:style>
  <w:style w:type="character" w:customStyle="1" w:styleId="75">
    <w:name w:val="日期 字符"/>
    <w:basedOn w:val="30"/>
    <w:link w:val="16"/>
    <w:semiHidden/>
    <w:qFormat/>
    <w:uiPriority w:val="99"/>
    <w:rPr>
      <w:kern w:val="2"/>
      <w:sz w:val="21"/>
      <w:szCs w:val="24"/>
    </w:rPr>
  </w:style>
  <w:style w:type="paragraph" w:customStyle="1" w:styleId="76">
    <w:name w:val="WPSOffice手动目录 1"/>
    <w:qFormat/>
    <w:uiPriority w:val="0"/>
    <w:rPr>
      <w:rFonts w:ascii="Times New Roman" w:hAnsi="Times New Roman" w:eastAsia="宋体" w:cs="Times New Roman"/>
      <w:lang w:val="en-US" w:eastAsia="zh-CN" w:bidi="ar-SA"/>
    </w:rPr>
  </w:style>
  <w:style w:type="character" w:customStyle="1" w:styleId="77">
    <w:name w:val="批注文字 字符1"/>
    <w:semiHidden/>
    <w:qFormat/>
    <w:locked/>
    <w:uiPriority w:val="0"/>
    <w:rPr>
      <w:kern w:val="2"/>
      <w:sz w:val="21"/>
      <w:szCs w:val="24"/>
    </w:rPr>
  </w:style>
  <w:style w:type="character" w:customStyle="1" w:styleId="78">
    <w:name w:val="标题 字符"/>
    <w:basedOn w:val="30"/>
    <w:link w:val="25"/>
    <w:qFormat/>
    <w:uiPriority w:val="0"/>
    <w:rPr>
      <w:rFonts w:asciiTheme="majorHAnsi" w:hAnsiTheme="majorHAnsi" w:eastAsiaTheme="majorEastAsia" w:cstheme="majorBidi"/>
      <w:b/>
      <w:bCs/>
      <w:sz w:val="32"/>
      <w:szCs w:val="32"/>
    </w:rPr>
  </w:style>
  <w:style w:type="paragraph" w:customStyle="1" w:styleId="79">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80">
    <w:name w:val="Char"/>
    <w:basedOn w:val="1"/>
    <w:qFormat/>
    <w:uiPriority w:val="0"/>
    <w:pPr>
      <w:ind w:firstLine="611" w:firstLineChars="191"/>
    </w:pPr>
    <w:rPr>
      <w:rFonts w:ascii="Calibri" w:hAnsi="Calibri" w:cs="Calibri"/>
      <w:szCs w:val="21"/>
    </w:rPr>
  </w:style>
  <w:style w:type="paragraph" w:customStyle="1" w:styleId="81">
    <w:name w:val="正文首行缩进1"/>
    <w:basedOn w:val="8"/>
    <w:next w:val="1"/>
    <w:qFormat/>
    <w:uiPriority w:val="0"/>
    <w:pPr>
      <w:autoSpaceDE w:val="0"/>
      <w:autoSpaceDN w:val="0"/>
      <w:adjustRightInd w:val="0"/>
      <w:spacing w:before="100" w:beforeAutospacing="1"/>
      <w:ind w:firstLine="420" w:firstLineChars="100"/>
      <w:jc w:val="left"/>
    </w:pPr>
    <w:rPr>
      <w:kern w:val="0"/>
      <w:sz w:val="20"/>
      <w:szCs w:val="20"/>
    </w:rPr>
  </w:style>
  <w:style w:type="paragraph" w:customStyle="1" w:styleId="82">
    <w:name w:val="正文 A"/>
    <w:basedOn w:val="1"/>
    <w:qFormat/>
    <w:uiPriority w:val="0"/>
    <w:rPr>
      <w:rFonts w:eastAsia="Arial Unicode MS" w:cs="Arial Unicode MS"/>
      <w:color w:val="000000"/>
      <w:szCs w:val="21"/>
    </w:rPr>
  </w:style>
  <w:style w:type="character" w:customStyle="1" w:styleId="83">
    <w:name w:val="font12"/>
    <w:basedOn w:val="30"/>
    <w:qFormat/>
    <w:uiPriority w:val="0"/>
    <w:rPr>
      <w:rFonts w:hint="eastAsia" w:ascii="宋体" w:hAnsi="宋体" w:eastAsia="宋体" w:cs="宋体"/>
      <w:color w:val="000000"/>
      <w:sz w:val="22"/>
      <w:szCs w:val="22"/>
      <w:u w:val="none"/>
    </w:rPr>
  </w:style>
  <w:style w:type="paragraph" w:customStyle="1" w:styleId="84">
    <w:name w:val="Default"/>
    <w:next w:val="23"/>
    <w:unhideWhenUsed/>
    <w:qFormat/>
    <w:uiPriority w:val="99"/>
    <w:pPr>
      <w:widowControl w:val="0"/>
      <w:autoSpaceDE w:val="0"/>
      <w:autoSpaceDN w:val="0"/>
      <w:adjustRightInd w:val="0"/>
    </w:pPr>
    <w:rPr>
      <w:rFonts w:ascii="Heiti TC" w:hAnsi="Heiti TC" w:eastAsia="Heiti TC" w:cs="Times New Roman"/>
      <w:color w:val="000000"/>
      <w:sz w:val="24"/>
      <w:szCs w:val="22"/>
      <w:lang w:val="en-US" w:eastAsia="zh-CN" w:bidi="ar-SA"/>
    </w:rPr>
  </w:style>
  <w:style w:type="table" w:customStyle="1" w:styleId="8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0B87EBC-994A-4B75-AD7D-1904AD715512}">
  <ds:schemaRefs/>
</ds:datastoreItem>
</file>

<file path=docProps/app.xml><?xml version="1.0" encoding="utf-8"?>
<Properties xmlns="http://schemas.openxmlformats.org/officeDocument/2006/extended-properties" xmlns:vt="http://schemas.openxmlformats.org/officeDocument/2006/docPropsVTypes">
  <Template>Normal</Template>
  <Pages>86</Pages>
  <Words>5103</Words>
  <Characters>5452</Characters>
  <Lines>337</Lines>
  <Paragraphs>94</Paragraphs>
  <TotalTime>58</TotalTime>
  <ScaleCrop>false</ScaleCrop>
  <LinksUpToDate>false</LinksUpToDate>
  <CharactersWithSpaces>5511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2026-08-21T02:05:00Z</dcterms:created>
  <dc:creator>Yzp;L CW</dc:creator>
  <cp:lastModifiedBy>白荣杰</cp:lastModifiedBy>
  <cp:lastPrinted>2025-06-09T07:23:00Z</cp:lastPrinted>
  <dcterms:modified xsi:type="dcterms:W3CDTF">2026-09-02T06:47:07Z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FC090E5A2CAD4FEAAC8B01A23D8AA212_13</vt:lpwstr>
  </property>
  <property fmtid="{D5CDD505-2E9C-101B-9397-08002B2CF9AE}" pid="4" name="KSOTemplateDocerSaveRecord">
    <vt:lpwstr>eyJoZGlkIjoiZDM3ZTI0ZGJlZjAyMGY4NWNmMGI5MGY3OGUwMDE5MWUiLCJ1c2VySWQiOiIxMTM4NDMzMjQ2In0=</vt:lpwstr>
  </property>
</Properties>
</file>