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rPr>
          <w:rFonts w:hint="eastAsia" w:ascii="黑体" w:hAnsi="黑体" w:eastAsia="黑体"/>
          <w:bCs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bCs/>
          <w:color w:val="000000"/>
          <w:szCs w:val="32"/>
        </w:rPr>
        <w:t>附件</w:t>
      </w:r>
      <w:r>
        <w:rPr>
          <w:rFonts w:hint="eastAsia" w:ascii="黑体" w:hAnsi="黑体" w:eastAsia="黑体"/>
          <w:bCs/>
          <w:color w:val="000000"/>
          <w:szCs w:val="32"/>
          <w:lang w:val="en-US" w:eastAsia="zh-CN"/>
        </w:rPr>
        <w:t>4</w:t>
      </w:r>
    </w:p>
    <w:tbl>
      <w:tblPr>
        <w:tblStyle w:val="2"/>
        <w:tblW w:w="910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851"/>
        <w:gridCol w:w="992"/>
        <w:gridCol w:w="3544"/>
        <w:gridCol w:w="2268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91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8"/>
                <w:szCs w:val="28"/>
              </w:rPr>
              <w:t>温州港口服务有限公司期租拖轮项目考评表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服务船名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评分因素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评分因素权重分值</w:t>
            </w:r>
          </w:p>
        </w:tc>
        <w:tc>
          <w:tcPr>
            <w:tcW w:w="354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2976" w:type="dxa"/>
            <w:gridSpan w:val="2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评分结果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54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976" w:type="dxa"/>
            <w:gridSpan w:val="2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东方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资质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5分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对公司资质、注册资金、规模、信用信息等综合因素进行综合评分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A档（3.4-5分）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B档（1.7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3.3分）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C档（0-1.6分）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拖轮安全管理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根据拖轮近两年海事安全检查纪录（不足两年的则提供近期海事安全检查纪录）等综合进行评分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A档（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B档（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3.4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6.7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C档（0-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拖轮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概况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结合是否符合公司拖轮服务需求、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主要设备配置情况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、船龄、对外消防功能、船员年龄等综合因素进行综合评分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A档（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B档（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9.9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C档（0-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4.9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期租成本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70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根据202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年月度油耗报表进行评分。（5分）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A档（3.4-5分）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B档（1.7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3.3分）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C档（0-1.6分）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</w:pP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价格分（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5分）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按备注2进行评分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100分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考评人签名：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spacing w:line="240" w:lineRule="auto"/>
        <w:ind w:firstLine="0" w:firstLineChars="0"/>
        <w:rPr>
          <w:rFonts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投标人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/>
        </w:rPr>
        <w:t>若</w:t>
      </w:r>
      <w:r>
        <w:rPr>
          <w:rFonts w:hint="eastAsia" w:ascii="仿宋" w:hAnsi="仿宋" w:eastAsia="仿宋" w:cs="仿宋"/>
          <w:color w:val="000000"/>
          <w:kern w:val="0"/>
          <w:sz w:val="24"/>
        </w:rPr>
        <w:t>被列入失信被执行人名单、重大税收违法案件当事人名单、政府采购严重违法失信行为记录名单，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eastAsia="zh-CN"/>
        </w:rPr>
        <w:t>将视为无效报价，</w:t>
      </w:r>
      <w:r>
        <w:rPr>
          <w:rFonts w:hint="eastAsia" w:ascii="仿宋" w:hAnsi="仿宋" w:eastAsia="仿宋" w:cs="仿宋"/>
          <w:color w:val="000000"/>
          <w:kern w:val="0"/>
          <w:sz w:val="24"/>
        </w:rPr>
        <w:t>信用信息以信用中国网站（www.creditchina.gov.cn）、中国政府采购网（www.ccgp.gov.cn）公布为准。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val="en-US" w:eastAsia="zh-CN"/>
        </w:rPr>
        <w:t>若列入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eastAsia="zh-CN"/>
        </w:rPr>
        <w:t>安全生产严重失信主体名单，将视为无效报价，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eastAsia="zh-CN"/>
        </w:rPr>
        <w:t>以开标当天通过“应急管理部”“信用中国”官方网站查询为准。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满足拖轮服务要求的最低报价（期租月租金）为评标基准值，其余投标人报价与该基准值对比，计算出价格评分值（保留小数2位）：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（1）有效投标人的投标报价等于评标基准值时，其报价分为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/>
        </w:rPr>
        <w:t>65</w:t>
      </w:r>
      <w:r>
        <w:rPr>
          <w:rFonts w:hint="eastAsia" w:ascii="仿宋" w:hAnsi="仿宋" w:eastAsia="仿宋" w:cs="仿宋"/>
          <w:color w:val="000000"/>
          <w:kern w:val="0"/>
          <w:sz w:val="24"/>
        </w:rPr>
        <w:t>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（2）其他投标人的价格分按以下公式计算：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投标报价得分={评标基准值/投标人报价}×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/>
        </w:rPr>
        <w:t>65</w:t>
      </w:r>
      <w:r>
        <w:rPr>
          <w:rFonts w:hint="eastAsia" w:ascii="仿宋" w:hAnsi="仿宋" w:eastAsia="仿宋" w:cs="仿宋"/>
          <w:color w:val="000000"/>
          <w:kern w:val="0"/>
          <w:sz w:val="24"/>
        </w:rPr>
        <w:t>（四舍五入后保留小数2位）。</w:t>
      </w:r>
    </w:p>
    <w:p>
      <w:pPr>
        <w:spacing w:line="240" w:lineRule="auto"/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CA7C4"/>
    <w:multiLevelType w:val="singleLevel"/>
    <w:tmpl w:val="B73CA7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867B8"/>
    <w:rsid w:val="2DE23A57"/>
    <w:rsid w:val="364867B8"/>
    <w:rsid w:val="755C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20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2025-09-02T23:25:00Z</dcterms:created>
  <dc:creator>wzgk</dc:creator>
  <cp:lastModifiedBy>LZC</cp:lastModifiedBy>
  <dcterms:modified xsi:type="dcterms:W3CDTF">2026-04-08T04:24:26Z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